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C5F68" w:rsidRDefault="005C5F68" w:rsidP="005C5F68">
      <w:pPr>
        <w:pStyle w:val="Gvdemetni20"/>
        <w:shd w:val="clear" w:color="auto" w:fill="auto"/>
        <w:spacing w:after="0" w:line="240" w:lineRule="auto"/>
        <w:ind w:left="851" w:right="706"/>
        <w:jc w:val="both"/>
        <w:rPr>
          <w:rFonts w:asciiTheme="majorHAnsi" w:hAnsiTheme="majorHAnsi"/>
          <w:b w:val="0"/>
          <w:sz w:val="28"/>
          <w:szCs w:val="28"/>
        </w:rPr>
      </w:pPr>
    </w:p>
    <w:p w:rsidR="00AF2405" w:rsidRDefault="00AF2405" w:rsidP="005C5F68">
      <w:pPr>
        <w:pStyle w:val="Gvdemetni20"/>
        <w:shd w:val="clear" w:color="auto" w:fill="auto"/>
        <w:spacing w:after="0" w:line="240" w:lineRule="auto"/>
        <w:ind w:left="851" w:right="706"/>
        <w:jc w:val="both"/>
        <w:rPr>
          <w:rFonts w:asciiTheme="majorHAnsi" w:hAnsiTheme="majorHAnsi"/>
          <w:b w:val="0"/>
          <w:sz w:val="28"/>
          <w:szCs w:val="28"/>
        </w:rPr>
      </w:pPr>
    </w:p>
    <w:p w:rsidR="005C5F68" w:rsidRDefault="00AF2405" w:rsidP="005C5F68">
      <w:pPr>
        <w:pStyle w:val="Gvdemetni20"/>
        <w:shd w:val="clear" w:color="auto" w:fill="auto"/>
        <w:spacing w:after="0" w:line="240" w:lineRule="auto"/>
        <w:ind w:left="851" w:right="706"/>
        <w:jc w:val="both"/>
        <w:rPr>
          <w:rFonts w:asciiTheme="majorHAnsi" w:hAnsiTheme="majorHAnsi"/>
          <w:b w:val="0"/>
          <w:sz w:val="28"/>
          <w:szCs w:val="28"/>
        </w:rPr>
      </w:pPr>
      <w:r w:rsidRPr="00AF2405">
        <w:rPr>
          <w:rFonts w:asciiTheme="majorHAnsi" w:hAnsiTheme="majorHAnsi"/>
          <w:sz w:val="28"/>
          <w:szCs w:val="28"/>
        </w:rPr>
        <w:t>DOSYA NO</w:t>
      </w:r>
      <w:r>
        <w:rPr>
          <w:rFonts w:asciiTheme="majorHAnsi" w:hAnsiTheme="majorHAnsi"/>
          <w:b w:val="0"/>
          <w:sz w:val="28"/>
          <w:szCs w:val="28"/>
        </w:rPr>
        <w:t>:641.04.14.3301</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Pr="00AF2405">
        <w:rPr>
          <w:rFonts w:asciiTheme="majorHAnsi" w:hAnsiTheme="majorHAnsi"/>
          <w:sz w:val="28"/>
          <w:szCs w:val="28"/>
        </w:rPr>
        <w:t>KARAR NO</w:t>
      </w:r>
      <w:r>
        <w:rPr>
          <w:rFonts w:asciiTheme="majorHAnsi" w:hAnsiTheme="majorHAnsi"/>
          <w:b w:val="0"/>
          <w:sz w:val="28"/>
          <w:szCs w:val="28"/>
        </w:rPr>
        <w:t>:4</w:t>
      </w:r>
    </w:p>
    <w:p w:rsidR="005C5F68" w:rsidRPr="00AF2405" w:rsidRDefault="00681500" w:rsidP="005C5F68">
      <w:pPr>
        <w:pStyle w:val="Gvdemetni20"/>
        <w:shd w:val="clear" w:color="auto" w:fill="auto"/>
        <w:spacing w:after="0" w:line="240" w:lineRule="auto"/>
        <w:ind w:left="851" w:right="706"/>
        <w:jc w:val="both"/>
        <w:rPr>
          <w:rFonts w:asciiTheme="majorHAnsi" w:hAnsiTheme="majorHAnsi"/>
          <w:sz w:val="28"/>
          <w:szCs w:val="28"/>
        </w:rPr>
      </w:pPr>
      <w:r w:rsidRPr="00AF2405">
        <w:rPr>
          <w:rFonts w:asciiTheme="majorHAnsi" w:hAnsiTheme="majorHAnsi"/>
          <w:sz w:val="28"/>
          <w:szCs w:val="28"/>
        </w:rPr>
        <w:t xml:space="preserve">T.C. </w:t>
      </w:r>
    </w:p>
    <w:p w:rsidR="005C5F68" w:rsidRPr="00AF2405" w:rsidRDefault="00681500" w:rsidP="005C5F68">
      <w:pPr>
        <w:pStyle w:val="Gvdemetni20"/>
        <w:shd w:val="clear" w:color="auto" w:fill="auto"/>
        <w:spacing w:after="0" w:line="240" w:lineRule="auto"/>
        <w:ind w:left="851" w:right="706"/>
        <w:jc w:val="both"/>
        <w:rPr>
          <w:rFonts w:asciiTheme="majorHAnsi" w:hAnsiTheme="majorHAnsi"/>
          <w:sz w:val="28"/>
          <w:szCs w:val="28"/>
        </w:rPr>
      </w:pPr>
      <w:r w:rsidRPr="00AF2405">
        <w:rPr>
          <w:rFonts w:asciiTheme="majorHAnsi" w:hAnsiTheme="majorHAnsi"/>
          <w:sz w:val="28"/>
          <w:szCs w:val="28"/>
        </w:rPr>
        <w:t xml:space="preserve">ANTALYA </w:t>
      </w:r>
    </w:p>
    <w:p w:rsidR="000E30FE" w:rsidRPr="00AF2405" w:rsidRDefault="00681500" w:rsidP="005C5F68">
      <w:pPr>
        <w:pStyle w:val="Gvdemetni20"/>
        <w:shd w:val="clear" w:color="auto" w:fill="auto"/>
        <w:spacing w:after="0" w:line="240" w:lineRule="auto"/>
        <w:ind w:left="851" w:right="706"/>
        <w:jc w:val="both"/>
        <w:rPr>
          <w:rFonts w:asciiTheme="majorHAnsi" w:hAnsiTheme="majorHAnsi"/>
          <w:sz w:val="28"/>
          <w:szCs w:val="28"/>
        </w:rPr>
      </w:pPr>
      <w:r w:rsidRPr="00AF2405">
        <w:rPr>
          <w:rFonts w:asciiTheme="majorHAnsi" w:hAnsiTheme="majorHAnsi"/>
          <w:sz w:val="28"/>
          <w:szCs w:val="28"/>
        </w:rPr>
        <w:t>2. İDARE MAHKEMESİ</w:t>
      </w:r>
    </w:p>
    <w:p w:rsidR="005C5F68" w:rsidRDefault="00681500" w:rsidP="005C5F68">
      <w:pPr>
        <w:pStyle w:val="Gvdemetni20"/>
        <w:shd w:val="clear" w:color="auto" w:fill="auto"/>
        <w:spacing w:after="0" w:line="240" w:lineRule="auto"/>
        <w:ind w:left="851" w:right="706"/>
        <w:jc w:val="both"/>
        <w:rPr>
          <w:rFonts w:asciiTheme="majorHAnsi" w:hAnsiTheme="majorHAnsi"/>
          <w:b w:val="0"/>
          <w:sz w:val="28"/>
          <w:szCs w:val="28"/>
        </w:rPr>
      </w:pPr>
      <w:r w:rsidRPr="00AF2405">
        <w:rPr>
          <w:rFonts w:asciiTheme="majorHAnsi" w:hAnsiTheme="majorHAnsi"/>
          <w:sz w:val="28"/>
          <w:szCs w:val="28"/>
        </w:rPr>
        <w:t>ESAS NO</w:t>
      </w:r>
      <w:r w:rsidRPr="005C5F68">
        <w:rPr>
          <w:rFonts w:asciiTheme="majorHAnsi" w:hAnsiTheme="majorHAnsi"/>
          <w:b w:val="0"/>
          <w:sz w:val="28"/>
          <w:szCs w:val="28"/>
        </w:rPr>
        <w:t xml:space="preserve"> : 2014/937</w:t>
      </w:r>
    </w:p>
    <w:p w:rsidR="000E30FE" w:rsidRPr="005C5F68" w:rsidRDefault="00681500" w:rsidP="005C5F68">
      <w:pPr>
        <w:pStyle w:val="Gvdemetni20"/>
        <w:shd w:val="clear" w:color="auto" w:fill="auto"/>
        <w:spacing w:after="0" w:line="240" w:lineRule="auto"/>
        <w:ind w:left="851" w:right="706"/>
        <w:jc w:val="both"/>
        <w:rPr>
          <w:rFonts w:asciiTheme="majorHAnsi" w:hAnsiTheme="majorHAnsi"/>
          <w:b w:val="0"/>
          <w:sz w:val="28"/>
          <w:szCs w:val="28"/>
        </w:rPr>
      </w:pPr>
      <w:r w:rsidRPr="00AF2405">
        <w:rPr>
          <w:rFonts w:asciiTheme="majorHAnsi" w:hAnsiTheme="majorHAnsi"/>
          <w:sz w:val="28"/>
          <w:szCs w:val="28"/>
        </w:rPr>
        <w:t>KARAR NO</w:t>
      </w:r>
      <w:r w:rsidRPr="005C5F68">
        <w:rPr>
          <w:rFonts w:asciiTheme="majorHAnsi" w:hAnsiTheme="majorHAnsi"/>
          <w:b w:val="0"/>
          <w:sz w:val="28"/>
          <w:szCs w:val="28"/>
        </w:rPr>
        <w:t xml:space="preserve"> : 2014/1725</w:t>
      </w:r>
    </w:p>
    <w:p w:rsidR="000E30FE" w:rsidRPr="00AF2405" w:rsidRDefault="00681500" w:rsidP="005C5F68">
      <w:pPr>
        <w:pStyle w:val="Gvdemetni0"/>
        <w:shd w:val="clear" w:color="auto" w:fill="auto"/>
        <w:tabs>
          <w:tab w:val="left" w:leader="underscore" w:pos="3714"/>
        </w:tabs>
        <w:spacing w:before="0" w:line="240" w:lineRule="auto"/>
        <w:ind w:left="851" w:right="706"/>
        <w:jc w:val="both"/>
        <w:rPr>
          <w:rFonts w:asciiTheme="majorHAnsi" w:hAnsiTheme="majorHAnsi"/>
          <w:sz w:val="28"/>
          <w:szCs w:val="28"/>
        </w:rPr>
      </w:pPr>
      <w:r w:rsidRPr="00AF2405">
        <w:rPr>
          <w:rStyle w:val="GvdemetniKaln"/>
          <w:rFonts w:asciiTheme="majorHAnsi" w:hAnsiTheme="majorHAnsi"/>
          <w:sz w:val="28"/>
          <w:szCs w:val="28"/>
        </w:rPr>
        <w:t>DAVACI</w:t>
      </w:r>
      <w:r w:rsidR="005C5F68" w:rsidRPr="00AF2405">
        <w:rPr>
          <w:rFonts w:asciiTheme="majorHAnsi" w:hAnsiTheme="majorHAnsi"/>
          <w:sz w:val="28"/>
          <w:szCs w:val="28"/>
        </w:rPr>
        <w:t xml:space="preserve"> </w:t>
      </w:r>
      <w:r w:rsidRPr="00AF2405">
        <w:rPr>
          <w:rFonts w:asciiTheme="majorHAnsi" w:hAnsiTheme="majorHAnsi"/>
          <w:sz w:val="28"/>
          <w:szCs w:val="28"/>
        </w:rPr>
        <w:t xml:space="preserve">: </w:t>
      </w:r>
    </w:p>
    <w:p w:rsidR="000E30FE" w:rsidRPr="00AF2405" w:rsidRDefault="00681500" w:rsidP="005C5F68">
      <w:pPr>
        <w:pStyle w:val="Gvdemetni0"/>
        <w:shd w:val="clear" w:color="auto" w:fill="auto"/>
        <w:tabs>
          <w:tab w:val="left" w:leader="underscore" w:pos="3694"/>
        </w:tabs>
        <w:spacing w:before="0" w:line="240" w:lineRule="auto"/>
        <w:ind w:left="851" w:right="706"/>
        <w:jc w:val="both"/>
        <w:rPr>
          <w:rFonts w:asciiTheme="majorHAnsi" w:hAnsiTheme="majorHAnsi"/>
          <w:sz w:val="28"/>
          <w:szCs w:val="28"/>
        </w:rPr>
      </w:pPr>
      <w:r w:rsidRPr="00AF2405">
        <w:rPr>
          <w:rStyle w:val="GvdemetniKaln"/>
          <w:rFonts w:asciiTheme="majorHAnsi" w:hAnsiTheme="majorHAnsi"/>
          <w:sz w:val="28"/>
          <w:szCs w:val="28"/>
        </w:rPr>
        <w:t>VEKİLİ</w:t>
      </w:r>
      <w:r w:rsidR="005C5F68" w:rsidRPr="00AF2405">
        <w:rPr>
          <w:rFonts w:asciiTheme="majorHAnsi" w:hAnsiTheme="majorHAnsi"/>
          <w:sz w:val="28"/>
          <w:szCs w:val="28"/>
        </w:rPr>
        <w:t xml:space="preserve"> </w:t>
      </w:r>
      <w:r w:rsidRPr="00AF2405">
        <w:rPr>
          <w:rFonts w:asciiTheme="majorHAnsi" w:hAnsiTheme="majorHAnsi"/>
          <w:sz w:val="28"/>
          <w:szCs w:val="28"/>
        </w:rPr>
        <w:t xml:space="preserve">: </w:t>
      </w:r>
    </w:p>
    <w:p w:rsidR="000E30FE" w:rsidRPr="00AF2405" w:rsidRDefault="00681500" w:rsidP="005C5F68">
      <w:pPr>
        <w:pStyle w:val="Gvdemetni0"/>
        <w:shd w:val="clear" w:color="auto" w:fill="auto"/>
        <w:tabs>
          <w:tab w:val="left" w:leader="underscore" w:pos="3694"/>
        </w:tabs>
        <w:spacing w:before="0" w:line="240" w:lineRule="auto"/>
        <w:ind w:left="851" w:right="706"/>
        <w:jc w:val="both"/>
        <w:rPr>
          <w:rFonts w:asciiTheme="majorHAnsi" w:hAnsiTheme="majorHAnsi"/>
          <w:sz w:val="28"/>
          <w:szCs w:val="28"/>
        </w:rPr>
      </w:pPr>
      <w:r w:rsidRPr="00AF2405">
        <w:rPr>
          <w:rStyle w:val="GvdemetniKaln"/>
          <w:rFonts w:asciiTheme="majorHAnsi" w:hAnsiTheme="majorHAnsi"/>
          <w:sz w:val="28"/>
          <w:szCs w:val="28"/>
        </w:rPr>
        <w:t>DAVALI</w:t>
      </w:r>
      <w:r w:rsidR="005C5F68" w:rsidRPr="00AF2405">
        <w:rPr>
          <w:rFonts w:asciiTheme="majorHAnsi" w:hAnsiTheme="majorHAnsi"/>
          <w:sz w:val="28"/>
          <w:szCs w:val="28"/>
        </w:rPr>
        <w:t xml:space="preserve"> </w:t>
      </w:r>
      <w:r w:rsidRPr="00AF2405">
        <w:rPr>
          <w:rFonts w:asciiTheme="majorHAnsi" w:hAnsiTheme="majorHAnsi"/>
          <w:sz w:val="28"/>
          <w:szCs w:val="28"/>
        </w:rPr>
        <w:t>: TAPU VE KADASTRO GENEL MÜDÜRLÜĞÜ</w:t>
      </w:r>
    </w:p>
    <w:p w:rsidR="000E30FE" w:rsidRPr="00AF2405" w:rsidRDefault="00681500" w:rsidP="005C5F68">
      <w:pPr>
        <w:pStyle w:val="Gvdemetni0"/>
        <w:shd w:val="clear" w:color="auto" w:fill="auto"/>
        <w:tabs>
          <w:tab w:val="left" w:leader="underscore" w:pos="3771"/>
        </w:tabs>
        <w:spacing w:before="0" w:line="240" w:lineRule="auto"/>
        <w:ind w:left="851" w:right="706"/>
        <w:jc w:val="both"/>
        <w:rPr>
          <w:rFonts w:asciiTheme="majorHAnsi" w:hAnsiTheme="majorHAnsi"/>
          <w:sz w:val="28"/>
          <w:szCs w:val="28"/>
        </w:rPr>
      </w:pPr>
      <w:r w:rsidRPr="00AF2405">
        <w:rPr>
          <w:rStyle w:val="GvdemetniKaln"/>
          <w:rFonts w:asciiTheme="majorHAnsi" w:hAnsiTheme="majorHAnsi"/>
          <w:sz w:val="28"/>
          <w:szCs w:val="28"/>
        </w:rPr>
        <w:t>VEKİLİ</w:t>
      </w:r>
      <w:r w:rsidR="005C5F68" w:rsidRPr="00AF2405">
        <w:rPr>
          <w:rFonts w:asciiTheme="majorHAnsi" w:hAnsiTheme="majorHAnsi"/>
          <w:sz w:val="28"/>
          <w:szCs w:val="28"/>
        </w:rPr>
        <w:t xml:space="preserve"> </w:t>
      </w:r>
      <w:r w:rsidRPr="00AF2405">
        <w:rPr>
          <w:rFonts w:asciiTheme="majorHAnsi" w:hAnsiTheme="majorHAnsi"/>
          <w:sz w:val="28"/>
          <w:szCs w:val="28"/>
        </w:rPr>
        <w:t xml:space="preserve">: </w:t>
      </w:r>
    </w:p>
    <w:p w:rsidR="000E30FE" w:rsidRDefault="00681500" w:rsidP="005C5F68">
      <w:pPr>
        <w:pStyle w:val="Gvdemetni0"/>
        <w:shd w:val="clear" w:color="auto" w:fill="auto"/>
        <w:tabs>
          <w:tab w:val="left" w:leader="underscore" w:pos="3718"/>
        </w:tabs>
        <w:spacing w:before="0" w:line="240" w:lineRule="auto"/>
        <w:ind w:left="851" w:right="706"/>
        <w:jc w:val="both"/>
        <w:rPr>
          <w:rFonts w:asciiTheme="majorHAnsi" w:hAnsiTheme="majorHAnsi"/>
          <w:sz w:val="28"/>
          <w:szCs w:val="28"/>
        </w:rPr>
      </w:pPr>
      <w:r w:rsidRPr="00AF2405">
        <w:rPr>
          <w:rStyle w:val="GvdemetniKaln"/>
          <w:rFonts w:asciiTheme="majorHAnsi" w:hAnsiTheme="majorHAnsi"/>
          <w:sz w:val="28"/>
          <w:szCs w:val="28"/>
        </w:rPr>
        <w:t>DAVANIN ÖZETİ</w:t>
      </w:r>
      <w:r w:rsidR="005C5F68">
        <w:rPr>
          <w:rFonts w:asciiTheme="majorHAnsi" w:hAnsiTheme="majorHAnsi"/>
          <w:sz w:val="28"/>
          <w:szCs w:val="28"/>
        </w:rPr>
        <w:t xml:space="preserve"> </w:t>
      </w:r>
      <w:r w:rsidRPr="005C5F68">
        <w:rPr>
          <w:rFonts w:asciiTheme="majorHAnsi" w:hAnsiTheme="majorHAnsi"/>
          <w:sz w:val="28"/>
          <w:szCs w:val="28"/>
        </w:rPr>
        <w:t>: Antalya ili, Serik Tapu Müdürlüğü emrinde 4/C'li personel olarak</w:t>
      </w:r>
      <w:r w:rsidR="005C5F68">
        <w:rPr>
          <w:rFonts w:asciiTheme="majorHAnsi" w:hAnsiTheme="majorHAnsi"/>
          <w:sz w:val="28"/>
          <w:szCs w:val="28"/>
        </w:rPr>
        <w:t xml:space="preserve"> </w:t>
      </w:r>
      <w:r w:rsidRPr="005C5F68">
        <w:rPr>
          <w:rFonts w:asciiTheme="majorHAnsi" w:hAnsiTheme="majorHAnsi"/>
          <w:sz w:val="28"/>
          <w:szCs w:val="28"/>
        </w:rPr>
        <w:t>görev yapan davacı tarafından, kendisine ek ödeme verilmesi talebiyle yaptığı başvurunun reddine dair 12.05.2014 tarih ve 2751 sayılı davalı idarece işleminin hukuka aykırı olduğu ileri sürülerek iptali talep edilmektedir</w:t>
      </w:r>
    </w:p>
    <w:p w:rsidR="005C5F68" w:rsidRPr="005C5F68" w:rsidRDefault="005C5F68" w:rsidP="005C5F68">
      <w:pPr>
        <w:pStyle w:val="Gvdemetni0"/>
        <w:shd w:val="clear" w:color="auto" w:fill="auto"/>
        <w:tabs>
          <w:tab w:val="left" w:leader="underscore" w:pos="3718"/>
        </w:tabs>
        <w:spacing w:before="0" w:line="240" w:lineRule="auto"/>
        <w:ind w:left="851" w:right="706"/>
        <w:jc w:val="both"/>
        <w:rPr>
          <w:rFonts w:asciiTheme="majorHAnsi" w:hAnsiTheme="majorHAnsi"/>
          <w:sz w:val="28"/>
          <w:szCs w:val="28"/>
        </w:rPr>
      </w:pPr>
    </w:p>
    <w:p w:rsidR="000E30FE" w:rsidRDefault="00681500" w:rsidP="005C5F68">
      <w:pPr>
        <w:pStyle w:val="Gvdemetni0"/>
        <w:shd w:val="clear" w:color="auto" w:fill="auto"/>
        <w:spacing w:before="0" w:line="240" w:lineRule="auto"/>
        <w:ind w:left="851" w:right="706"/>
        <w:jc w:val="both"/>
        <w:rPr>
          <w:rFonts w:asciiTheme="majorHAnsi" w:hAnsiTheme="majorHAnsi"/>
          <w:sz w:val="28"/>
          <w:szCs w:val="28"/>
        </w:rPr>
      </w:pPr>
      <w:r w:rsidRPr="005C5F68">
        <w:rPr>
          <w:rStyle w:val="GvdemetniKaln"/>
          <w:rFonts w:asciiTheme="majorHAnsi" w:hAnsiTheme="majorHAnsi"/>
          <w:b w:val="0"/>
          <w:sz w:val="28"/>
          <w:szCs w:val="28"/>
        </w:rPr>
        <w:t>SAVUNMANIN ÖZETİ</w:t>
      </w:r>
      <w:r w:rsidRPr="005C5F68">
        <w:rPr>
          <w:rFonts w:asciiTheme="majorHAnsi" w:hAnsiTheme="majorHAnsi"/>
          <w:sz w:val="28"/>
          <w:szCs w:val="28"/>
        </w:rPr>
        <w:t xml:space="preserve"> : Davanın süresinde açılmadığı, davacıya sözleşme ücreti dışında bir ek ödeme yapılmasının mümkün olmadığı belirtilerek davanın reddi gerektiği savunulmaktadır.</w:t>
      </w:r>
    </w:p>
    <w:p w:rsidR="005C5F68" w:rsidRPr="005C5F68" w:rsidRDefault="005C5F68" w:rsidP="005C5F68">
      <w:pPr>
        <w:pStyle w:val="Gvdemetni0"/>
        <w:shd w:val="clear" w:color="auto" w:fill="auto"/>
        <w:spacing w:before="0" w:line="240" w:lineRule="auto"/>
        <w:ind w:left="851" w:right="706"/>
        <w:jc w:val="both"/>
        <w:rPr>
          <w:rFonts w:asciiTheme="majorHAnsi" w:hAnsiTheme="majorHAnsi"/>
          <w:sz w:val="28"/>
          <w:szCs w:val="28"/>
        </w:rPr>
      </w:pPr>
    </w:p>
    <w:p w:rsidR="000E30FE" w:rsidRPr="005C5F68" w:rsidRDefault="005C5F68" w:rsidP="005C5F68">
      <w:pPr>
        <w:pStyle w:val="Balk10"/>
        <w:keepNext/>
        <w:keepLines/>
        <w:shd w:val="clear" w:color="auto" w:fill="auto"/>
        <w:spacing w:before="0" w:after="0" w:line="240" w:lineRule="auto"/>
        <w:ind w:left="851" w:right="706"/>
        <w:jc w:val="both"/>
        <w:rPr>
          <w:rFonts w:asciiTheme="majorHAnsi" w:hAnsiTheme="majorHAnsi"/>
          <w:sz w:val="28"/>
          <w:szCs w:val="28"/>
        </w:rPr>
      </w:pPr>
      <w:bookmarkStart w:id="0" w:name="bookmark0"/>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681500" w:rsidRPr="005C5F68">
        <w:rPr>
          <w:rFonts w:asciiTheme="majorHAnsi" w:hAnsiTheme="majorHAnsi"/>
          <w:sz w:val="28"/>
          <w:szCs w:val="28"/>
        </w:rPr>
        <w:t>TÜRK MİLLETİ ADINA</w:t>
      </w:r>
      <w:bookmarkEnd w:id="0"/>
    </w:p>
    <w:p w:rsidR="005C5F68" w:rsidRPr="005C5F68" w:rsidRDefault="005C5F68" w:rsidP="005C5F68">
      <w:pPr>
        <w:pStyle w:val="Balk10"/>
        <w:keepNext/>
        <w:keepLines/>
        <w:shd w:val="clear" w:color="auto" w:fill="auto"/>
        <w:spacing w:before="0" w:after="0" w:line="240" w:lineRule="auto"/>
        <w:ind w:left="851" w:right="706"/>
        <w:jc w:val="both"/>
        <w:rPr>
          <w:rFonts w:asciiTheme="majorHAnsi" w:hAnsiTheme="majorHAnsi"/>
          <w:b w:val="0"/>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Hüküm veren Antalya 2. İdare Mahkemesi Hakimliği'nce dava dosyası incelenerek işin gereği düşünüldü:</w:t>
      </w:r>
    </w:p>
    <w:p w:rsidR="00AF2405" w:rsidRPr="005C5F68"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Davalı idarenin süre itirazı yerinde görülmeyerek işin esasına geçildi.</w:t>
      </w:r>
    </w:p>
    <w:p w:rsidR="00AF2405" w:rsidRPr="005C5F68"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Dava, Antalya İli, Serik Tapu Müdürlüğü emrinde 4/C'li personel olarak görev yapan davacı tarafından, kendisine ek ödeme verilmesi talebiyle yaptığı başvurunun reddine dair 12.05.2014 tarih ve 2751 sayılı işlemin iptali istemiyle açılmıştır.</w:t>
      </w:r>
    </w:p>
    <w:p w:rsidR="00AF2405" w:rsidRPr="005C5F68"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657 sayılı yasanın 4/C maddesinde, geçici personel 'Bir yıldan az süreli veya mevsimlik hizmet olduğuna Devlet Personel Başkanlığı ve Maliye Bakanlığının görüşlerine dayanılarak Bakanlar Kurulunca karar verilen görevlerde ve belirtilen ücret ve adet sınırları içinde sözleşme ile çalıştırılan ve</w:t>
      </w:r>
      <w:r>
        <w:rPr>
          <w:rFonts w:asciiTheme="majorHAnsi" w:hAnsiTheme="majorHAnsi"/>
          <w:sz w:val="28"/>
          <w:szCs w:val="28"/>
        </w:rPr>
        <w:t xml:space="preserve"> </w:t>
      </w:r>
      <w:r w:rsidR="00681500" w:rsidRPr="005C5F68">
        <w:rPr>
          <w:rFonts w:asciiTheme="majorHAnsi" w:hAnsiTheme="majorHAnsi"/>
          <w:sz w:val="28"/>
          <w:szCs w:val="28"/>
        </w:rPr>
        <w:t>işçi sayılmayan kimselerdir.' şeklinde tanımlanmıştır.</w:t>
      </w:r>
    </w:p>
    <w:p w:rsidR="005C5F68" w:rsidRPr="005C5F68" w:rsidRDefault="005C5F68" w:rsidP="005C5F68">
      <w:pPr>
        <w:pStyle w:val="Gvdemetni0"/>
        <w:shd w:val="clear" w:color="auto" w:fill="auto"/>
        <w:spacing w:before="0" w:line="240" w:lineRule="auto"/>
        <w:ind w:left="851" w:right="706"/>
        <w:jc w:val="both"/>
        <w:rPr>
          <w:rFonts w:asciiTheme="majorHAnsi" w:hAnsiTheme="majorHAnsi"/>
          <w:sz w:val="28"/>
          <w:szCs w:val="28"/>
        </w:rPr>
      </w:pPr>
    </w:p>
    <w:p w:rsidR="000E30FE" w:rsidRPr="005C5F68" w:rsidRDefault="00681500" w:rsidP="005C5F68">
      <w:pPr>
        <w:pStyle w:val="Gvdemetni0"/>
        <w:shd w:val="clear" w:color="auto" w:fill="auto"/>
        <w:tabs>
          <w:tab w:val="left" w:leader="dot" w:pos="8509"/>
        </w:tabs>
        <w:spacing w:before="0" w:line="240" w:lineRule="auto"/>
        <w:ind w:left="851" w:right="706"/>
        <w:jc w:val="both"/>
        <w:rPr>
          <w:rFonts w:asciiTheme="majorHAnsi" w:hAnsiTheme="majorHAnsi"/>
          <w:sz w:val="28"/>
          <w:szCs w:val="28"/>
        </w:rPr>
      </w:pPr>
      <w:r w:rsidRPr="005C5F68">
        <w:rPr>
          <w:rFonts w:asciiTheme="majorHAnsi" w:hAnsiTheme="majorHAnsi"/>
          <w:sz w:val="28"/>
          <w:szCs w:val="28"/>
        </w:rPr>
        <w:t xml:space="preserve">375 sayılı Kanun Hükmünde Kararnamenin ek 3. maddesinde; " </w:t>
      </w:r>
      <w:r w:rsidRPr="005C5F68">
        <w:rPr>
          <w:rFonts w:asciiTheme="majorHAnsi" w:hAnsiTheme="majorHAnsi"/>
          <w:sz w:val="28"/>
          <w:szCs w:val="28"/>
        </w:rPr>
        <w:tab/>
      </w:r>
      <w:r w:rsidR="00AF2405">
        <w:rPr>
          <w:rFonts w:asciiTheme="majorHAnsi" w:hAnsiTheme="majorHAnsi"/>
          <w:sz w:val="28"/>
          <w:szCs w:val="28"/>
        </w:rPr>
        <w:t>......</w:t>
      </w:r>
      <w:r w:rsidRPr="005C5F68">
        <w:rPr>
          <w:rFonts w:asciiTheme="majorHAnsi" w:hAnsiTheme="majorHAnsi"/>
          <w:sz w:val="28"/>
          <w:szCs w:val="28"/>
        </w:rPr>
        <w:t>Tapu ve Kadastro</w:t>
      </w:r>
    </w:p>
    <w:p w:rsidR="005160AE" w:rsidRDefault="00681500"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r w:rsidRPr="005C5F68">
        <w:rPr>
          <w:rFonts w:asciiTheme="majorHAnsi" w:hAnsiTheme="majorHAnsi"/>
          <w:sz w:val="28"/>
          <w:szCs w:val="28"/>
        </w:rPr>
        <w:t>Genel Müdürlüğü,</w:t>
      </w:r>
      <w:r w:rsidRPr="005C5F68">
        <w:rPr>
          <w:rFonts w:asciiTheme="majorHAnsi" w:hAnsiTheme="majorHAnsi"/>
          <w:sz w:val="28"/>
          <w:szCs w:val="28"/>
        </w:rPr>
        <w:tab/>
        <w:t>merkez ve taşra teşkilâtı ile varsa bunların döner sermaye kadrolarında</w:t>
      </w:r>
      <w:r w:rsidR="005C5F68">
        <w:rPr>
          <w:rFonts w:asciiTheme="majorHAnsi" w:hAnsiTheme="majorHAnsi"/>
          <w:sz w:val="28"/>
          <w:szCs w:val="28"/>
        </w:rPr>
        <w:t xml:space="preserve"> </w:t>
      </w:r>
      <w:r w:rsidRPr="005C5F68">
        <w:rPr>
          <w:rStyle w:val="GvdemetniKaln0"/>
          <w:rFonts w:asciiTheme="majorHAnsi" w:hAnsiTheme="majorHAnsi"/>
          <w:b w:val="0"/>
          <w:sz w:val="28"/>
          <w:szCs w:val="28"/>
        </w:rPr>
        <w:t>657 sayılı Devlet Memurları Kanununa göre istihdam edilen memurlar</w:t>
      </w:r>
      <w:r w:rsidRPr="005C5F68">
        <w:rPr>
          <w:rFonts w:asciiTheme="majorHAnsi" w:hAnsiTheme="majorHAnsi"/>
          <w:sz w:val="28"/>
          <w:szCs w:val="28"/>
        </w:rPr>
        <w:t xml:space="preserve"> ile aylıklarını 2802 sayılı Hâkimler ve Savcılar Kanunu ve 2914 sayılı Yükseköğretim Personel Kanununa göre alanlara, subay, sözleşmeli subay, astsubay, sözleşmeli astsubay, sözleşmeli subay ve astsubay adayları, uzman jandarma ve uzman erbaşlara, kamu iktisadi teşebbüsleri ve bağlı ortaklıklarda 399 sayılı Kanun Hükmünde Kararnameye ekli (I) sayılı cetvelde gösterilen kadrolar dışında 657 sayılı Kanun </w:t>
      </w:r>
    </w:p>
    <w:p w:rsidR="005160AE" w:rsidRDefault="005160AE"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p>
    <w:p w:rsidR="005160AE" w:rsidRDefault="005160AE"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p>
    <w:p w:rsidR="005160AE" w:rsidRDefault="005160AE"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p>
    <w:p w:rsidR="005C5F68" w:rsidRDefault="00681500"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r w:rsidRPr="005C5F68">
        <w:rPr>
          <w:rFonts w:asciiTheme="majorHAnsi" w:hAnsiTheme="majorHAnsi"/>
          <w:sz w:val="28"/>
          <w:szCs w:val="28"/>
        </w:rPr>
        <w:t>hükümlerine göre aylık alan memurlara, en yüksek Devlet memuru aylığının</w:t>
      </w:r>
      <w:r w:rsidR="005C5F68">
        <w:rPr>
          <w:rFonts w:asciiTheme="majorHAnsi" w:hAnsiTheme="majorHAnsi"/>
          <w:sz w:val="28"/>
          <w:szCs w:val="28"/>
        </w:rPr>
        <w:t xml:space="preserve"> </w:t>
      </w:r>
      <w:r w:rsidRPr="005C5F68">
        <w:rPr>
          <w:rFonts w:asciiTheme="majorHAnsi" w:hAnsiTheme="majorHAnsi"/>
          <w:sz w:val="28"/>
          <w:szCs w:val="28"/>
        </w:rPr>
        <w:t xml:space="preserve">(ek gösterge dahil) % 200 ünü geçmemek üzere her ay ek ödeme yapılabilir. </w:t>
      </w:r>
      <w:r w:rsidRPr="005C5F68">
        <w:rPr>
          <w:rFonts w:asciiTheme="majorHAnsi" w:hAnsiTheme="majorHAnsi"/>
          <w:sz w:val="28"/>
          <w:szCs w:val="28"/>
        </w:rPr>
        <w:tab/>
      </w:r>
      <w:r w:rsidR="00AF2405">
        <w:rPr>
          <w:rFonts w:asciiTheme="majorHAnsi" w:hAnsiTheme="majorHAnsi"/>
          <w:sz w:val="28"/>
          <w:szCs w:val="28"/>
        </w:rPr>
        <w:t>......</w:t>
      </w:r>
      <w:r w:rsidRPr="005C5F68">
        <w:rPr>
          <w:rStyle w:val="GvdemetniKaln0"/>
          <w:rFonts w:asciiTheme="majorHAnsi" w:hAnsiTheme="majorHAnsi"/>
          <w:b w:val="0"/>
          <w:sz w:val="28"/>
          <w:szCs w:val="28"/>
        </w:rPr>
        <w:t xml:space="preserve"> Kadro</w:t>
      </w:r>
      <w:r w:rsidR="005C5F68">
        <w:rPr>
          <w:rStyle w:val="GvdemetniKaln0"/>
          <w:rFonts w:asciiTheme="majorHAnsi" w:hAnsiTheme="majorHAnsi"/>
          <w:b w:val="0"/>
          <w:sz w:val="28"/>
          <w:szCs w:val="28"/>
        </w:rPr>
        <w:t xml:space="preserve"> </w:t>
      </w:r>
      <w:r w:rsidRPr="005C5F68">
        <w:rPr>
          <w:rStyle w:val="GvdemetniKaln0"/>
          <w:rFonts w:asciiTheme="majorHAnsi" w:hAnsiTheme="majorHAnsi"/>
          <w:b w:val="0"/>
          <w:sz w:val="28"/>
          <w:szCs w:val="28"/>
        </w:rPr>
        <w:t>karşılığı sözleşmeli personel hariç olmak üzere, çeşitli statülerde istihdam edilen sözleşmeli personele</w:t>
      </w:r>
      <w:r w:rsidRPr="005C5F68">
        <w:rPr>
          <w:rFonts w:asciiTheme="majorHAnsi" w:hAnsiTheme="majorHAnsi"/>
          <w:sz w:val="28"/>
          <w:szCs w:val="28"/>
        </w:rPr>
        <w:t xml:space="preserve"> birinci fıkrada belirlenen tutarı aşmamak üzere ve bu madde;hükümleri çerçevesinde, statüleri ve kurumları dikkate alınarak ödeme yapıp yapmamaya, sözleşme ücreti ile ilişkilendirilmeks</w:t>
      </w:r>
      <w:r w:rsidR="00AF2405">
        <w:rPr>
          <w:rFonts w:asciiTheme="majorHAnsi" w:hAnsiTheme="majorHAnsi"/>
          <w:sz w:val="28"/>
          <w:szCs w:val="28"/>
        </w:rPr>
        <w:t>izin yapılacak ek ödeme tutarını</w:t>
      </w:r>
    </w:p>
    <w:p w:rsidR="000E30FE" w:rsidRDefault="00681500"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r w:rsidRPr="005C5F68">
        <w:rPr>
          <w:rFonts w:asciiTheme="majorHAnsi" w:hAnsiTheme="majorHAnsi"/>
          <w:sz w:val="28"/>
          <w:szCs w:val="28"/>
        </w:rPr>
        <w:t>belirlemeye, Ücretleri, Yüksek Planlama Kurulu tarafından belirlenenler için bu Kurul, d</w:t>
      </w:r>
      <w:r w:rsidR="00AF2405">
        <w:rPr>
          <w:rFonts w:asciiTheme="majorHAnsi" w:hAnsiTheme="majorHAnsi"/>
          <w:sz w:val="28"/>
          <w:szCs w:val="28"/>
        </w:rPr>
        <w:t>iğerleri için Bakanlar kurulu yetkili</w:t>
      </w:r>
      <w:r w:rsidRPr="005C5F68">
        <w:rPr>
          <w:rFonts w:asciiTheme="majorHAnsi" w:hAnsiTheme="majorHAnsi"/>
          <w:sz w:val="28"/>
          <w:szCs w:val="28"/>
        </w:rPr>
        <w:t>dir. Ek ödeme tutarı damga vergisi hariç herhangi bir</w:t>
      </w:r>
      <w:r w:rsidR="00AF2405">
        <w:rPr>
          <w:rFonts w:asciiTheme="majorHAnsi" w:hAnsiTheme="majorHAnsi"/>
          <w:sz w:val="28"/>
          <w:szCs w:val="28"/>
        </w:rPr>
        <w:t xml:space="preserve"> vergi ve kesintiye tabi tutulam</w:t>
      </w:r>
      <w:r w:rsidRPr="005C5F68">
        <w:rPr>
          <w:rFonts w:asciiTheme="majorHAnsi" w:hAnsiTheme="majorHAnsi"/>
          <w:sz w:val="28"/>
          <w:szCs w:val="28"/>
        </w:rPr>
        <w:t>az." hükmüne yer verilmiştir.</w:t>
      </w:r>
    </w:p>
    <w:p w:rsidR="00AF2405" w:rsidRPr="005C5F68" w:rsidRDefault="00AF2405" w:rsidP="005C5F68">
      <w:pPr>
        <w:pStyle w:val="Gvdemetni0"/>
        <w:shd w:val="clear" w:color="auto" w:fill="auto"/>
        <w:tabs>
          <w:tab w:val="left" w:leader="dot" w:pos="3157"/>
        </w:tabs>
        <w:spacing w:before="0" w:line="240" w:lineRule="auto"/>
        <w:ind w:left="851" w:right="706"/>
        <w:jc w:val="both"/>
        <w:rPr>
          <w:rFonts w:asciiTheme="majorHAnsi" w:hAnsiTheme="majorHAnsi"/>
          <w:sz w:val="28"/>
          <w:szCs w:val="28"/>
        </w:rPr>
      </w:pPr>
    </w:p>
    <w:p w:rsidR="000E30FE" w:rsidRDefault="00681500" w:rsidP="00AF2405">
      <w:pPr>
        <w:pStyle w:val="Gvdemetni0"/>
        <w:shd w:val="clear" w:color="auto" w:fill="auto"/>
        <w:tabs>
          <w:tab w:val="left" w:leader="underscore" w:pos="1808"/>
        </w:tabs>
        <w:spacing w:before="0" w:line="240" w:lineRule="auto"/>
        <w:ind w:left="851" w:right="706"/>
        <w:jc w:val="both"/>
        <w:rPr>
          <w:rFonts w:asciiTheme="majorHAnsi" w:hAnsiTheme="majorHAnsi"/>
          <w:sz w:val="28"/>
          <w:szCs w:val="28"/>
        </w:rPr>
      </w:pPr>
      <w:r w:rsidRPr="005C5F68">
        <w:rPr>
          <w:rFonts w:asciiTheme="majorHAnsi" w:hAnsiTheme="majorHAnsi"/>
          <w:sz w:val="28"/>
          <w:szCs w:val="28"/>
        </w:rPr>
        <w:t>Diğer taraftan 03.05.2004 tarih ve 2004/7898 sayılı Bakanlar Kurulu Kararı ile kabul edilen Özelleştirme Uygulamaları Sonucunda İşsiz Kalan ve Bilahare işsiz Kalacak Olan İşçilerin Diğer Kamu Kurum ve Kuruluşlarında Geçici Personel Statüsünde istihd</w:t>
      </w:r>
      <w:r w:rsidR="00AF2405">
        <w:rPr>
          <w:rFonts w:asciiTheme="majorHAnsi" w:hAnsiTheme="majorHAnsi"/>
          <w:sz w:val="28"/>
          <w:szCs w:val="28"/>
        </w:rPr>
        <w:t xml:space="preserve">am Edilmelerine İlişkin Esasların </w:t>
      </w:r>
      <w:r w:rsidRPr="005C5F68">
        <w:rPr>
          <w:rFonts w:asciiTheme="majorHAnsi" w:hAnsiTheme="majorHAnsi"/>
          <w:sz w:val="28"/>
          <w:szCs w:val="28"/>
        </w:rPr>
        <w:t xml:space="preserve"> 3. maddesinde;</w:t>
      </w:r>
      <w:r w:rsidRPr="005C5F68">
        <w:rPr>
          <w:rStyle w:val="GvdemetniKaln1"/>
          <w:rFonts w:asciiTheme="majorHAnsi" w:hAnsiTheme="majorHAnsi"/>
          <w:b w:val="0"/>
          <w:sz w:val="28"/>
          <w:szCs w:val="28"/>
        </w:rPr>
        <w:t xml:space="preserve"> "Geçici personele bu Esaslarda belirtilen ücretler dışında herhangi bir ad altında bir ücret ödenemez ve sözleşmelerine bu yolda hüküm konulamaz."</w:t>
      </w:r>
      <w:r w:rsidRPr="005C5F68">
        <w:rPr>
          <w:rFonts w:asciiTheme="majorHAnsi" w:hAnsiTheme="majorHAnsi"/>
          <w:sz w:val="28"/>
          <w:szCs w:val="28"/>
        </w:rPr>
        <w:t xml:space="preserve"> düzenlemesine yer verilmiştir.</w:t>
      </w:r>
    </w:p>
    <w:p w:rsidR="00AF2405" w:rsidRPr="005C5F68" w:rsidRDefault="00AF2405" w:rsidP="00AF2405">
      <w:pPr>
        <w:pStyle w:val="Gvdemetni0"/>
        <w:shd w:val="clear" w:color="auto" w:fill="auto"/>
        <w:tabs>
          <w:tab w:val="left" w:leader="underscore" w:pos="1808"/>
        </w:tabs>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Yine 08.12.2011 tarih ve 2011/2543 sayılı Bakanlar Kurulu Kararı ile kabul edilen Kamu Kurum ve Kuruluşlarındaki Geçici Mahiyetteki İşleri Yürütmek Üzere Geçici Personel İstihdamı ve Bu Personele Öd</w:t>
      </w:r>
      <w:r>
        <w:rPr>
          <w:rFonts w:asciiTheme="majorHAnsi" w:hAnsiTheme="majorHAnsi"/>
          <w:sz w:val="28"/>
          <w:szCs w:val="28"/>
        </w:rPr>
        <w:t xml:space="preserve">enecek Ücretler Hakkında Kararın </w:t>
      </w:r>
      <w:r w:rsidR="00681500" w:rsidRPr="005C5F68">
        <w:rPr>
          <w:rFonts w:asciiTheme="majorHAnsi" w:hAnsiTheme="majorHAnsi"/>
          <w:sz w:val="28"/>
          <w:szCs w:val="28"/>
        </w:rPr>
        <w:t xml:space="preserve"> 7. maddesinde; "Geçici personel, 19/11/1986 tarihli ve 86/11220 sayılı Kararname ile yürürlüğe konulan "Devlet Memurları Yiyecek Yardımı Yönetmeliği" hükümleri çerçevesinde, Maliye Bakanlığı tarafından belirlenen usul ve esaslar dahilinde, yiyecek yardımından faydalandırılır.</w:t>
      </w:r>
      <w:r w:rsidR="00681500" w:rsidRPr="005C5F68">
        <w:rPr>
          <w:rStyle w:val="GvdemetniKaln1"/>
          <w:rFonts w:asciiTheme="majorHAnsi" w:hAnsiTheme="majorHAnsi"/>
          <w:b w:val="0"/>
          <w:sz w:val="28"/>
          <w:szCs w:val="28"/>
        </w:rPr>
        <w:t xml:space="preserve"> Geçici personele bu kararda belirtilen ücretler dışında herhangi bir ad altında bir ücret ödenemez ve sözleşmelerine bu yolda hüküm konulamaz."</w:t>
      </w:r>
      <w:r w:rsidR="00681500" w:rsidRPr="005C5F68">
        <w:rPr>
          <w:rFonts w:asciiTheme="majorHAnsi" w:hAnsiTheme="majorHAnsi"/>
          <w:sz w:val="28"/>
          <w:szCs w:val="28"/>
        </w:rPr>
        <w:t xml:space="preserve"> düzenlemesine yer verilmiştir.</w:t>
      </w:r>
    </w:p>
    <w:p w:rsidR="00AF2405" w:rsidRPr="005C5F68"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Dava dosyasının incelenmesinden, davacının Serik Tapu Müdürlüğünde 4/C'li geçici personel olarak çalıştığı, 29.04.2014 tarihli dilekçe ile davalı idareye müracaat ederek kendisine ek ödeme yapılması talebinde bulunduğu, talebine yönelik olarak 12.05.2014 tarih ve 2751 sayılı işlemin tesis edildiği, davacı tarafından "ek ödeme" talebinin reddine yönelik mezkur işlemin iptali istemiyle bakılan davanın açıldığı anlaşılmaktadır.</w:t>
      </w:r>
    </w:p>
    <w:p w:rsidR="005C5F68" w:rsidRPr="005C5F68" w:rsidRDefault="005C5F68" w:rsidP="005C5F68">
      <w:pPr>
        <w:pStyle w:val="Gvdemetni0"/>
        <w:shd w:val="clear" w:color="auto" w:fill="auto"/>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Davacı her ne kadar tarafına ek ödeme yapılmasını talep etmekte ise de; yukarıda da açıkça belirtildiği üzere söz konusu ek ödemenin ancak (4/A statüsündeki) memurlara ve Bakanlar Kumlunun belirleyeceği hallerde (4/B statüsündeki) sözleşmeli personele yapılmasının mümkün olduğu açık olup, diğer yandan yine yukarıda belirtilen Bakanlar Kurulu Kararlarında açıkça belirtildiği üzere 4/C'li geçici personele sözleşme ücreti haricinde bir ek ödeme yapılmasının da mümkün olmadığı ortadadır.</w:t>
      </w:r>
    </w:p>
    <w:p w:rsidR="00AF2405" w:rsidRPr="005C5F68"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0E30FE"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Bu durumda, 4/C'li geçici personel statüsünde olan davacıya, memurlara ve sözleşmeli personele ödenebilen ek ödemenin yapılmasına hukuken imkan bulunmadığından, davacının bu yöndeki talebinin reddine dair dava konusu işlemde hukuka aykırı bir yön bulunmadığı sonuç ve kanaatine varılmıştır.</w:t>
      </w:r>
    </w:p>
    <w:p w:rsidR="00AF2405"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AF2405"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AF2405" w:rsidRDefault="00AF2405" w:rsidP="005C5F68">
      <w:pPr>
        <w:pStyle w:val="Gvdemetni0"/>
        <w:shd w:val="clear" w:color="auto" w:fill="auto"/>
        <w:spacing w:before="0" w:line="240" w:lineRule="auto"/>
        <w:ind w:left="851" w:right="706"/>
        <w:jc w:val="both"/>
        <w:rPr>
          <w:rFonts w:asciiTheme="majorHAnsi" w:hAnsiTheme="majorHAnsi"/>
          <w:sz w:val="28"/>
          <w:szCs w:val="28"/>
        </w:rPr>
      </w:pPr>
    </w:p>
    <w:p w:rsidR="000E30FE" w:rsidRPr="005C5F68" w:rsidRDefault="00AF2405" w:rsidP="005C5F68">
      <w:pPr>
        <w:pStyle w:val="Gvdemetni0"/>
        <w:shd w:val="clear" w:color="auto" w:fill="auto"/>
        <w:spacing w:before="0" w:line="240" w:lineRule="auto"/>
        <w:ind w:left="851" w:right="706"/>
        <w:jc w:val="both"/>
        <w:rPr>
          <w:rFonts w:asciiTheme="majorHAnsi" w:hAnsiTheme="majorHAnsi"/>
          <w:sz w:val="28"/>
          <w:szCs w:val="28"/>
        </w:rPr>
      </w:pPr>
      <w:r>
        <w:rPr>
          <w:rFonts w:asciiTheme="majorHAnsi" w:hAnsiTheme="majorHAnsi"/>
          <w:sz w:val="28"/>
          <w:szCs w:val="28"/>
        </w:rPr>
        <w:tab/>
      </w:r>
      <w:r w:rsidR="00681500" w:rsidRPr="005C5F68">
        <w:rPr>
          <w:rFonts w:asciiTheme="majorHAnsi" w:hAnsiTheme="majorHAnsi"/>
          <w:sz w:val="28"/>
          <w:szCs w:val="28"/>
        </w:rPr>
        <w:t>Açıklanan nedenlerle,</w:t>
      </w:r>
      <w:r w:rsidR="00681500" w:rsidRPr="005C5F68">
        <w:rPr>
          <w:rStyle w:val="GvdemetniKaln1"/>
          <w:rFonts w:asciiTheme="majorHAnsi" w:hAnsiTheme="majorHAnsi"/>
          <w:b w:val="0"/>
          <w:sz w:val="28"/>
          <w:szCs w:val="28"/>
        </w:rPr>
        <w:t xml:space="preserve"> DAVANIN REDDİNE,</w:t>
      </w:r>
      <w:r w:rsidR="00681500" w:rsidRPr="005C5F68">
        <w:rPr>
          <w:rFonts w:asciiTheme="majorHAnsi" w:hAnsiTheme="majorHAnsi"/>
          <w:sz w:val="28"/>
          <w:szCs w:val="28"/>
        </w:rPr>
        <w:t xml:space="preserve"> aşağıda dökümü yapılan 96,00 TL yargılama giderinin davacı üzerinde bırakılmasına, Avukatlık Asgari Ücret Tarifesi uyarınca belirlenen 750,00 TL vekalet ücretinin davacıdan alınarak davalı idareye verilmesine, artan posta ücretinin hükmün kesinleşmesinden sonra davacıya iadesine, kararın tebliğini izleyen günden itibaren 30 gün içerisinde Antalya Bölge idare Mahkemesi'ne itiraz yolu açık olmak üzere 19/12/2014 tarihinde karar verildi</w:t>
      </w:r>
    </w:p>
    <w:p w:rsidR="000E30FE" w:rsidRPr="005C5F68" w:rsidRDefault="000E30FE" w:rsidP="005C5F68">
      <w:pPr>
        <w:ind w:left="851" w:right="706"/>
        <w:jc w:val="both"/>
        <w:rPr>
          <w:rFonts w:asciiTheme="majorHAnsi" w:hAnsiTheme="majorHAnsi"/>
          <w:sz w:val="28"/>
          <w:szCs w:val="28"/>
        </w:rPr>
      </w:pPr>
    </w:p>
    <w:p w:rsidR="000E30FE" w:rsidRPr="005C5F68" w:rsidRDefault="000E30FE" w:rsidP="005C5F68">
      <w:pPr>
        <w:ind w:left="851" w:right="706"/>
        <w:jc w:val="both"/>
        <w:rPr>
          <w:rFonts w:asciiTheme="majorHAnsi" w:hAnsiTheme="majorHAnsi"/>
          <w:sz w:val="28"/>
          <w:szCs w:val="28"/>
        </w:rPr>
      </w:pPr>
    </w:p>
    <w:sectPr w:rsidR="000E30FE" w:rsidRPr="005C5F68" w:rsidSect="005C5F68">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0"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57" w:rsidRDefault="002B2E57" w:rsidP="000E30FE">
      <w:r>
        <w:separator/>
      </w:r>
    </w:p>
  </w:endnote>
  <w:endnote w:type="continuationSeparator" w:id="1">
    <w:p w:rsidR="002B2E57" w:rsidRDefault="002B2E57" w:rsidP="000E30F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05" w:rsidRDefault="00AF24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05" w:rsidRDefault="00AF24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05" w:rsidRDefault="00AF24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57" w:rsidRDefault="002B2E57"/>
  </w:footnote>
  <w:footnote w:type="continuationSeparator" w:id="1">
    <w:p w:rsidR="002B2E57" w:rsidRDefault="002B2E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05" w:rsidRDefault="00454C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18in;height:63.75pt;rotation:315;z-index:-251654144;mso-position-horizontal:center;mso-position-horizontal-relative:margin;mso-position-vertical:center;mso-position-vertical-relative:margin" o:allowincell="f" fillcolor="#205867 [1608]" stroked="f">
          <v:fill opacity=".5"/>
          <v:textpath style="font-family:&quot;Arial Unicode MS&quot;;font-size:48pt" string="http://www.tkgm.gov.tr/tr/dairebaşkanlıkları/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05" w:rsidRDefault="00454C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18in;height:63.75pt;rotation:315;z-index:-251652096;mso-position-horizontal:center;mso-position-horizontal-relative:margin;mso-position-vertical:center;mso-position-vertical-relative:margin" o:allowincell="f" fillcolor="#205867 [1608]" stroked="f">
          <v:fill opacity=".5"/>
          <v:textpath style="font-family:&quot;Arial Unicode MS&quot;;font-size:48pt" string="http://www.tkgm.gov.tr/tr/dairebaşkanlıkları/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05" w:rsidRDefault="00454C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18in;height:63.75pt;rotation:315;z-index:-251656192;mso-position-horizontal:center;mso-position-horizontal-relative:margin;mso-position-vertical:center;mso-position-vertical-relative:margin" o:allowincell="f" fillcolor="#205867 [1608]" stroked="f">
          <v:fill opacity=".5"/>
          <v:textpath style="font-family:&quot;Arial Unicode MS&quot;;font-size:48pt" string="http://www.tkgm.gov.tr/tr/dairebaşkanlıkları/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0E30FE"/>
    <w:rsid w:val="000E30FE"/>
    <w:rsid w:val="0026488F"/>
    <w:rsid w:val="002B2E57"/>
    <w:rsid w:val="00454CFF"/>
    <w:rsid w:val="005160AE"/>
    <w:rsid w:val="005C5F68"/>
    <w:rsid w:val="00681500"/>
    <w:rsid w:val="008472FC"/>
    <w:rsid w:val="00A53814"/>
    <w:rsid w:val="00AF24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30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E30FE"/>
    <w:rPr>
      <w:color w:val="000080"/>
      <w:u w:val="single"/>
    </w:rPr>
  </w:style>
  <w:style w:type="character" w:customStyle="1" w:styleId="Gvdemetni2">
    <w:name w:val="Gövde metni (2)_"/>
    <w:basedOn w:val="VarsaylanParagrafYazTipi"/>
    <w:link w:val="Gvdemetni20"/>
    <w:rsid w:val="000E30FE"/>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_"/>
    <w:basedOn w:val="VarsaylanParagrafYazTipi"/>
    <w:link w:val="Gvdemetni0"/>
    <w:rsid w:val="000E30FE"/>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Gvdemetni"/>
    <w:rsid w:val="000E30FE"/>
    <w:rPr>
      <w:b/>
      <w:bCs/>
      <w:spacing w:val="0"/>
      <w:u w:val="single"/>
    </w:rPr>
  </w:style>
  <w:style w:type="character" w:customStyle="1" w:styleId="Balk1">
    <w:name w:val="Başlık #1_"/>
    <w:basedOn w:val="VarsaylanParagrafYazTipi"/>
    <w:link w:val="Balk10"/>
    <w:rsid w:val="000E30FE"/>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0">
    <w:name w:val="Gövde metni + Kalın"/>
    <w:basedOn w:val="Gvdemetni"/>
    <w:rsid w:val="000E30FE"/>
    <w:rPr>
      <w:b/>
      <w:bCs/>
      <w:spacing w:val="0"/>
    </w:rPr>
  </w:style>
  <w:style w:type="character" w:customStyle="1" w:styleId="Gvdemetni0ptbolukbraklyor">
    <w:name w:val="Gövde metni + 0 pt boşluk bırakılıyor"/>
    <w:basedOn w:val="Gvdemetni"/>
    <w:rsid w:val="000E30FE"/>
    <w:rPr>
      <w:spacing w:val="10"/>
    </w:rPr>
  </w:style>
  <w:style w:type="character" w:customStyle="1" w:styleId="Gvdemetni3">
    <w:name w:val="Gövde metni (3)_"/>
    <w:basedOn w:val="VarsaylanParagrafYazTipi"/>
    <w:link w:val="Gvdemetni30"/>
    <w:rsid w:val="000E30FE"/>
    <w:rPr>
      <w:rFonts w:ascii="Times New Roman" w:eastAsia="Times New Roman" w:hAnsi="Times New Roman" w:cs="Times New Roman"/>
      <w:b w:val="0"/>
      <w:bCs w:val="0"/>
      <w:i w:val="0"/>
      <w:iCs w:val="0"/>
      <w:smallCaps w:val="0"/>
      <w:strike w:val="0"/>
      <w:spacing w:val="0"/>
      <w:sz w:val="13"/>
      <w:szCs w:val="13"/>
    </w:rPr>
  </w:style>
  <w:style w:type="character" w:customStyle="1" w:styleId="Gvdemetni385pt">
    <w:name w:val="Gövde metni (3) + 8;5 pt"/>
    <w:basedOn w:val="Gvdemetni3"/>
    <w:rsid w:val="000E30FE"/>
    <w:rPr>
      <w:spacing w:val="0"/>
      <w:sz w:val="17"/>
      <w:szCs w:val="17"/>
    </w:rPr>
  </w:style>
  <w:style w:type="character" w:customStyle="1" w:styleId="GvdemetniKaln1">
    <w:name w:val="Gövde metni + Kalın"/>
    <w:basedOn w:val="Gvdemetni"/>
    <w:rsid w:val="000E30FE"/>
    <w:rPr>
      <w:b/>
      <w:bCs/>
      <w:spacing w:val="0"/>
    </w:rPr>
  </w:style>
  <w:style w:type="character" w:customStyle="1" w:styleId="Resimyazs">
    <w:name w:val="Resim yazısı_"/>
    <w:basedOn w:val="VarsaylanParagrafYazTipi"/>
    <w:link w:val="Resimyazs0"/>
    <w:rsid w:val="000E30FE"/>
    <w:rPr>
      <w:rFonts w:ascii="Times New Roman" w:eastAsia="Times New Roman" w:hAnsi="Times New Roman" w:cs="Times New Roman"/>
      <w:b w:val="0"/>
      <w:bCs w:val="0"/>
      <w:i w:val="0"/>
      <w:iCs w:val="0"/>
      <w:smallCaps w:val="0"/>
      <w:strike w:val="0"/>
      <w:spacing w:val="0"/>
      <w:sz w:val="21"/>
      <w:szCs w:val="21"/>
    </w:rPr>
  </w:style>
  <w:style w:type="character" w:customStyle="1" w:styleId="Gvdemetni0ptbolukbraklyor0">
    <w:name w:val="Gövde metni + 0 pt boşluk bırakılıyor"/>
    <w:basedOn w:val="Gvdemetni"/>
    <w:rsid w:val="000E30FE"/>
    <w:rPr>
      <w:spacing w:val="10"/>
    </w:rPr>
  </w:style>
  <w:style w:type="character" w:customStyle="1" w:styleId="Gvdemetni6">
    <w:name w:val="Gövde metni (6)_"/>
    <w:basedOn w:val="VarsaylanParagrafYazTipi"/>
    <w:link w:val="Gvdemetni60"/>
    <w:rsid w:val="000E30FE"/>
    <w:rPr>
      <w:rFonts w:ascii="Times New Roman" w:eastAsia="Times New Roman" w:hAnsi="Times New Roman" w:cs="Times New Roman"/>
      <w:b w:val="0"/>
      <w:bCs w:val="0"/>
      <w:i w:val="0"/>
      <w:iCs w:val="0"/>
      <w:smallCaps w:val="0"/>
      <w:strike w:val="0"/>
      <w:spacing w:val="0"/>
      <w:sz w:val="22"/>
      <w:szCs w:val="22"/>
    </w:rPr>
  </w:style>
  <w:style w:type="character" w:customStyle="1" w:styleId="Tabloyazs">
    <w:name w:val="Tablo yazısı_"/>
    <w:basedOn w:val="VarsaylanParagrafYazTipi"/>
    <w:link w:val="Tabloyazs0"/>
    <w:rsid w:val="000E30FE"/>
    <w:rPr>
      <w:rFonts w:ascii="Times New Roman" w:eastAsia="Times New Roman" w:hAnsi="Times New Roman" w:cs="Times New Roman"/>
      <w:b w:val="0"/>
      <w:bCs w:val="0"/>
      <w:i w:val="0"/>
      <w:iCs w:val="0"/>
      <w:smallCaps w:val="0"/>
      <w:strike w:val="0"/>
      <w:spacing w:val="0"/>
      <w:sz w:val="21"/>
      <w:szCs w:val="21"/>
    </w:rPr>
  </w:style>
  <w:style w:type="character" w:customStyle="1" w:styleId="Tabloyazs1">
    <w:name w:val="Tablo yazısı"/>
    <w:basedOn w:val="Tabloyazs"/>
    <w:rsid w:val="000E30FE"/>
    <w:rPr>
      <w:u w:val="single"/>
    </w:rPr>
  </w:style>
  <w:style w:type="character" w:customStyle="1" w:styleId="Gvdemetni5">
    <w:name w:val="Gövde metni (5)_"/>
    <w:basedOn w:val="VarsaylanParagrafYazTipi"/>
    <w:link w:val="Gvdemetni50"/>
    <w:rsid w:val="000E30FE"/>
    <w:rPr>
      <w:rFonts w:ascii="Times New Roman" w:eastAsia="Times New Roman" w:hAnsi="Times New Roman" w:cs="Times New Roman"/>
      <w:b w:val="0"/>
      <w:bCs w:val="0"/>
      <w:i w:val="0"/>
      <w:iCs w:val="0"/>
      <w:smallCaps w:val="0"/>
      <w:strike w:val="0"/>
      <w:sz w:val="20"/>
      <w:szCs w:val="20"/>
    </w:rPr>
  </w:style>
  <w:style w:type="character" w:customStyle="1" w:styleId="Gvdemetni4">
    <w:name w:val="Gövde metni (4)_"/>
    <w:basedOn w:val="VarsaylanParagrafYazTipi"/>
    <w:link w:val="Gvdemetni40"/>
    <w:rsid w:val="000E30FE"/>
    <w:rPr>
      <w:rFonts w:ascii="Times New Roman" w:eastAsia="Times New Roman" w:hAnsi="Times New Roman" w:cs="Times New Roman"/>
      <w:b w:val="0"/>
      <w:bCs w:val="0"/>
      <w:i w:val="0"/>
      <w:iCs w:val="0"/>
      <w:smallCaps w:val="0"/>
      <w:strike w:val="0"/>
      <w:sz w:val="8"/>
      <w:szCs w:val="8"/>
    </w:rPr>
  </w:style>
  <w:style w:type="character" w:customStyle="1" w:styleId="Gvdemetni41">
    <w:name w:val="Gövde metni (4)"/>
    <w:basedOn w:val="Gvdemetni4"/>
    <w:rsid w:val="000E30FE"/>
  </w:style>
  <w:style w:type="character" w:customStyle="1" w:styleId="Gvdemetni385pt0">
    <w:name w:val="Gövde metni (3) + 8;5 pt"/>
    <w:basedOn w:val="Gvdemetni3"/>
    <w:rsid w:val="000E30FE"/>
    <w:rPr>
      <w:spacing w:val="0"/>
      <w:sz w:val="17"/>
      <w:szCs w:val="17"/>
    </w:rPr>
  </w:style>
  <w:style w:type="paragraph" w:customStyle="1" w:styleId="Gvdemetni20">
    <w:name w:val="Gövde metni (2)"/>
    <w:basedOn w:val="Normal"/>
    <w:link w:val="Gvdemetni2"/>
    <w:rsid w:val="000E30FE"/>
    <w:pPr>
      <w:shd w:val="clear" w:color="auto" w:fill="FFFFFF"/>
      <w:spacing w:after="300" w:line="312"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rsid w:val="000E30FE"/>
    <w:pPr>
      <w:shd w:val="clear" w:color="auto" w:fill="FFFFFF"/>
      <w:spacing w:before="600" w:line="298" w:lineRule="exact"/>
    </w:pPr>
    <w:rPr>
      <w:rFonts w:ascii="Times New Roman" w:eastAsia="Times New Roman" w:hAnsi="Times New Roman" w:cs="Times New Roman"/>
      <w:sz w:val="21"/>
      <w:szCs w:val="21"/>
    </w:rPr>
  </w:style>
  <w:style w:type="paragraph" w:customStyle="1" w:styleId="Balk10">
    <w:name w:val="Başlık #1"/>
    <w:basedOn w:val="Normal"/>
    <w:link w:val="Balk1"/>
    <w:rsid w:val="000E30FE"/>
    <w:pPr>
      <w:shd w:val="clear" w:color="auto" w:fill="FFFFFF"/>
      <w:spacing w:before="300" w:after="360" w:line="0" w:lineRule="atLeast"/>
      <w:outlineLvl w:val="0"/>
    </w:pPr>
    <w:rPr>
      <w:rFonts w:ascii="Times New Roman" w:eastAsia="Times New Roman" w:hAnsi="Times New Roman" w:cs="Times New Roman"/>
      <w:b/>
      <w:bCs/>
      <w:sz w:val="21"/>
      <w:szCs w:val="21"/>
    </w:rPr>
  </w:style>
  <w:style w:type="paragraph" w:customStyle="1" w:styleId="Gvdemetni30">
    <w:name w:val="Gövde metni (3)"/>
    <w:basedOn w:val="Normal"/>
    <w:link w:val="Gvdemetni3"/>
    <w:rsid w:val="000E30FE"/>
    <w:pPr>
      <w:shd w:val="clear" w:color="auto" w:fill="FFFFFF"/>
      <w:spacing w:line="0" w:lineRule="atLeast"/>
    </w:pPr>
    <w:rPr>
      <w:rFonts w:ascii="Times New Roman" w:eastAsia="Times New Roman" w:hAnsi="Times New Roman" w:cs="Times New Roman"/>
      <w:sz w:val="13"/>
      <w:szCs w:val="13"/>
    </w:rPr>
  </w:style>
  <w:style w:type="paragraph" w:customStyle="1" w:styleId="Resimyazs0">
    <w:name w:val="Resim yazısı"/>
    <w:basedOn w:val="Normal"/>
    <w:link w:val="Resimyazs"/>
    <w:rsid w:val="000E30FE"/>
    <w:pPr>
      <w:shd w:val="clear" w:color="auto" w:fill="FFFFFF"/>
      <w:spacing w:line="278" w:lineRule="exact"/>
      <w:ind w:hanging="780"/>
    </w:pPr>
    <w:rPr>
      <w:rFonts w:ascii="Times New Roman" w:eastAsia="Times New Roman" w:hAnsi="Times New Roman" w:cs="Times New Roman"/>
      <w:sz w:val="21"/>
      <w:szCs w:val="21"/>
    </w:rPr>
  </w:style>
  <w:style w:type="paragraph" w:customStyle="1" w:styleId="Gvdemetni60">
    <w:name w:val="Gövde metni (6)"/>
    <w:basedOn w:val="Normal"/>
    <w:link w:val="Gvdemetni6"/>
    <w:rsid w:val="000E30FE"/>
    <w:pPr>
      <w:shd w:val="clear" w:color="auto" w:fill="FFFFFF"/>
      <w:spacing w:line="0" w:lineRule="atLeast"/>
    </w:pPr>
    <w:rPr>
      <w:rFonts w:ascii="Times New Roman" w:eastAsia="Times New Roman" w:hAnsi="Times New Roman" w:cs="Times New Roman"/>
      <w:sz w:val="22"/>
      <w:szCs w:val="22"/>
    </w:rPr>
  </w:style>
  <w:style w:type="paragraph" w:customStyle="1" w:styleId="Tabloyazs0">
    <w:name w:val="Tablo yazısı"/>
    <w:basedOn w:val="Normal"/>
    <w:link w:val="Tabloyazs"/>
    <w:rsid w:val="000E30FE"/>
    <w:pPr>
      <w:shd w:val="clear" w:color="auto" w:fill="FFFFFF"/>
      <w:spacing w:line="0" w:lineRule="atLeast"/>
    </w:pPr>
    <w:rPr>
      <w:rFonts w:ascii="Times New Roman" w:eastAsia="Times New Roman" w:hAnsi="Times New Roman" w:cs="Times New Roman"/>
      <w:sz w:val="21"/>
      <w:szCs w:val="21"/>
    </w:rPr>
  </w:style>
  <w:style w:type="paragraph" w:customStyle="1" w:styleId="Gvdemetni50">
    <w:name w:val="Gövde metni (5)"/>
    <w:basedOn w:val="Normal"/>
    <w:link w:val="Gvdemetni5"/>
    <w:rsid w:val="000E30FE"/>
    <w:pPr>
      <w:shd w:val="clear" w:color="auto" w:fill="FFFFFF"/>
      <w:spacing w:line="0" w:lineRule="atLeast"/>
    </w:pPr>
    <w:rPr>
      <w:rFonts w:ascii="Times New Roman" w:eastAsia="Times New Roman" w:hAnsi="Times New Roman" w:cs="Times New Roman"/>
      <w:sz w:val="20"/>
      <w:szCs w:val="20"/>
    </w:rPr>
  </w:style>
  <w:style w:type="paragraph" w:customStyle="1" w:styleId="Gvdemetni40">
    <w:name w:val="Gövde metni (4)"/>
    <w:basedOn w:val="Normal"/>
    <w:link w:val="Gvdemetni4"/>
    <w:rsid w:val="000E30FE"/>
    <w:pPr>
      <w:shd w:val="clear" w:color="auto" w:fill="FFFFFF"/>
      <w:spacing w:before="120" w:line="0" w:lineRule="atLeast"/>
    </w:pPr>
    <w:rPr>
      <w:rFonts w:ascii="Times New Roman" w:eastAsia="Times New Roman" w:hAnsi="Times New Roman" w:cs="Times New Roman"/>
      <w:i/>
      <w:iCs/>
      <w:sz w:val="8"/>
      <w:szCs w:val="8"/>
    </w:rPr>
  </w:style>
  <w:style w:type="paragraph" w:styleId="stbilgi">
    <w:name w:val="header"/>
    <w:basedOn w:val="Normal"/>
    <w:link w:val="stbilgiChar"/>
    <w:uiPriority w:val="99"/>
    <w:semiHidden/>
    <w:unhideWhenUsed/>
    <w:rsid w:val="00AF2405"/>
    <w:pPr>
      <w:tabs>
        <w:tab w:val="center" w:pos="4536"/>
        <w:tab w:val="right" w:pos="9072"/>
      </w:tabs>
    </w:pPr>
  </w:style>
  <w:style w:type="character" w:customStyle="1" w:styleId="stbilgiChar">
    <w:name w:val="Üstbilgi Char"/>
    <w:basedOn w:val="VarsaylanParagrafYazTipi"/>
    <w:link w:val="stbilgi"/>
    <w:uiPriority w:val="99"/>
    <w:semiHidden/>
    <w:rsid w:val="00AF2405"/>
    <w:rPr>
      <w:color w:val="000000"/>
    </w:rPr>
  </w:style>
  <w:style w:type="paragraph" w:styleId="Altbilgi">
    <w:name w:val="footer"/>
    <w:basedOn w:val="Normal"/>
    <w:link w:val="AltbilgiChar"/>
    <w:uiPriority w:val="99"/>
    <w:semiHidden/>
    <w:unhideWhenUsed/>
    <w:rsid w:val="00AF2405"/>
    <w:pPr>
      <w:tabs>
        <w:tab w:val="center" w:pos="4536"/>
        <w:tab w:val="right" w:pos="9072"/>
      </w:tabs>
    </w:pPr>
  </w:style>
  <w:style w:type="character" w:customStyle="1" w:styleId="AltbilgiChar">
    <w:name w:val="Altbilgi Char"/>
    <w:basedOn w:val="VarsaylanParagrafYazTipi"/>
    <w:link w:val="Altbilgi"/>
    <w:uiPriority w:val="99"/>
    <w:semiHidden/>
    <w:rsid w:val="00AF240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2020-11-30T10:45:00Z</dcterms:created>
  <dcterms:modified xsi:type="dcterms:W3CDTF">2020-11-30T10:45:00Z</dcterms:modified>
</cp:coreProperties>
</file>