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F13EF4" w:rsidRDefault="00F13EF4" w:rsidP="002D009A">
      <w:pPr>
        <w:pStyle w:val="Gvdemetni0"/>
        <w:shd w:val="clear" w:color="auto" w:fill="auto"/>
        <w:spacing w:after="0" w:line="240" w:lineRule="atLeast"/>
        <w:jc w:val="both"/>
        <w:rPr>
          <w:rFonts w:ascii="Cambria" w:hAnsi="Cambria"/>
          <w:sz w:val="28"/>
          <w:szCs w:val="28"/>
        </w:rPr>
      </w:pPr>
      <w:r>
        <w:rPr>
          <w:rFonts w:ascii="Cambria" w:hAnsi="Cambria"/>
          <w:sz w:val="28"/>
          <w:szCs w:val="28"/>
        </w:rPr>
        <w:t>DOSYA NO</w:t>
      </w:r>
      <w:r>
        <w:rPr>
          <w:rFonts w:ascii="Cambria" w:hAnsi="Cambria"/>
          <w:sz w:val="28"/>
          <w:szCs w:val="28"/>
        </w:rPr>
        <w:tab/>
        <w:t>: 641-04-12-2408</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KARAR NO</w:t>
      </w:r>
      <w:r>
        <w:rPr>
          <w:rFonts w:ascii="Cambria" w:hAnsi="Cambria"/>
          <w:sz w:val="28"/>
          <w:szCs w:val="28"/>
        </w:rPr>
        <w:tab/>
        <w:t>: 99</w:t>
      </w:r>
    </w:p>
    <w:p w:rsidR="00F13EF4" w:rsidRDefault="00F13EF4" w:rsidP="002D009A">
      <w:pPr>
        <w:pStyle w:val="Gvdemetni0"/>
        <w:shd w:val="clear" w:color="auto" w:fill="auto"/>
        <w:spacing w:after="0" w:line="240" w:lineRule="atLeast"/>
        <w:jc w:val="both"/>
        <w:rPr>
          <w:rFonts w:ascii="Cambria" w:hAnsi="Cambria"/>
          <w:sz w:val="28"/>
          <w:szCs w:val="28"/>
        </w:rPr>
      </w:pPr>
    </w:p>
    <w:p w:rsidR="002D009A" w:rsidRDefault="0052013C" w:rsidP="002D009A">
      <w:pPr>
        <w:pStyle w:val="Gvdemetni0"/>
        <w:shd w:val="clear" w:color="auto" w:fill="auto"/>
        <w:spacing w:after="0" w:line="240" w:lineRule="atLeast"/>
        <w:jc w:val="both"/>
        <w:rPr>
          <w:rFonts w:ascii="Cambria" w:hAnsi="Cambria"/>
          <w:sz w:val="28"/>
          <w:szCs w:val="28"/>
        </w:rPr>
      </w:pPr>
      <w:r>
        <w:rPr>
          <w:rFonts w:ascii="Cambria" w:hAnsi="Cambria"/>
          <w:sz w:val="28"/>
          <w:szCs w:val="28"/>
        </w:rPr>
        <w:t>T.C.</w:t>
      </w:r>
    </w:p>
    <w:p w:rsidR="0052013C" w:rsidRDefault="0052013C" w:rsidP="002D009A">
      <w:pPr>
        <w:pStyle w:val="Gvdemetni0"/>
        <w:shd w:val="clear" w:color="auto" w:fill="auto"/>
        <w:spacing w:after="0" w:line="240" w:lineRule="atLeast"/>
        <w:jc w:val="both"/>
        <w:rPr>
          <w:rFonts w:ascii="Cambria" w:hAnsi="Cambria"/>
          <w:sz w:val="28"/>
          <w:szCs w:val="28"/>
        </w:rPr>
      </w:pPr>
      <w:r>
        <w:rPr>
          <w:rFonts w:ascii="Cambria" w:hAnsi="Cambria"/>
          <w:sz w:val="28"/>
          <w:szCs w:val="28"/>
        </w:rPr>
        <w:t>TRABZON</w:t>
      </w:r>
    </w:p>
    <w:p w:rsidR="002D009A" w:rsidRDefault="004A3DDD" w:rsidP="002D009A">
      <w:pPr>
        <w:pStyle w:val="Gvdemetni0"/>
        <w:shd w:val="clear" w:color="auto" w:fill="auto"/>
        <w:spacing w:after="0" w:line="240" w:lineRule="atLeast"/>
        <w:jc w:val="both"/>
        <w:rPr>
          <w:rFonts w:ascii="Cambria" w:hAnsi="Cambria"/>
          <w:sz w:val="28"/>
          <w:szCs w:val="28"/>
        </w:rPr>
      </w:pPr>
      <w:r w:rsidRPr="002D009A">
        <w:rPr>
          <w:rFonts w:ascii="Cambria" w:hAnsi="Cambria"/>
          <w:sz w:val="28"/>
          <w:szCs w:val="28"/>
        </w:rPr>
        <w:t xml:space="preserve">İDARE MAHKEMESİ </w:t>
      </w:r>
    </w:p>
    <w:p w:rsidR="0052013C" w:rsidRDefault="0052013C" w:rsidP="002D009A">
      <w:pPr>
        <w:pStyle w:val="Gvdemetni0"/>
        <w:shd w:val="clear" w:color="auto" w:fill="auto"/>
        <w:spacing w:after="0" w:line="240" w:lineRule="atLeast"/>
        <w:jc w:val="both"/>
        <w:rPr>
          <w:rFonts w:ascii="Cambria" w:hAnsi="Cambria"/>
          <w:sz w:val="28"/>
          <w:szCs w:val="28"/>
        </w:rPr>
      </w:pPr>
    </w:p>
    <w:p w:rsidR="002D009A" w:rsidRDefault="0052013C" w:rsidP="002D009A">
      <w:pPr>
        <w:pStyle w:val="Gvdemetni0"/>
        <w:shd w:val="clear" w:color="auto" w:fill="auto"/>
        <w:spacing w:after="0" w:line="240" w:lineRule="atLeast"/>
        <w:jc w:val="both"/>
        <w:rPr>
          <w:rFonts w:ascii="Cambria" w:hAnsi="Cambria"/>
          <w:sz w:val="28"/>
          <w:szCs w:val="28"/>
        </w:rPr>
      </w:pPr>
      <w:r>
        <w:rPr>
          <w:rFonts w:ascii="Cambria" w:hAnsi="Cambria"/>
          <w:sz w:val="28"/>
          <w:szCs w:val="28"/>
        </w:rPr>
        <w:t>ESAS NO</w:t>
      </w:r>
      <w:r>
        <w:rPr>
          <w:rFonts w:ascii="Cambria" w:hAnsi="Cambria"/>
          <w:sz w:val="28"/>
          <w:szCs w:val="28"/>
        </w:rPr>
        <w:tab/>
      </w:r>
      <w:r w:rsidR="004A3DDD" w:rsidRPr="002D009A">
        <w:rPr>
          <w:rFonts w:ascii="Cambria" w:hAnsi="Cambria"/>
          <w:sz w:val="28"/>
          <w:szCs w:val="28"/>
        </w:rPr>
        <w:t xml:space="preserve">: 2014/397 </w:t>
      </w:r>
    </w:p>
    <w:p w:rsidR="004704A4" w:rsidRPr="002D009A" w:rsidRDefault="0052013C" w:rsidP="002D009A">
      <w:pPr>
        <w:pStyle w:val="Gvdemetni0"/>
        <w:shd w:val="clear" w:color="auto" w:fill="auto"/>
        <w:spacing w:after="0" w:line="240" w:lineRule="atLeast"/>
        <w:jc w:val="both"/>
        <w:rPr>
          <w:rFonts w:ascii="Cambria" w:hAnsi="Cambria"/>
          <w:sz w:val="28"/>
          <w:szCs w:val="28"/>
        </w:rPr>
      </w:pPr>
      <w:r>
        <w:rPr>
          <w:rFonts w:ascii="Cambria" w:hAnsi="Cambria"/>
          <w:sz w:val="28"/>
          <w:szCs w:val="28"/>
        </w:rPr>
        <w:t>KARAR NO</w:t>
      </w:r>
      <w:r>
        <w:rPr>
          <w:rFonts w:ascii="Cambria" w:hAnsi="Cambria"/>
          <w:sz w:val="28"/>
          <w:szCs w:val="28"/>
        </w:rPr>
        <w:tab/>
      </w:r>
      <w:r w:rsidR="004A3DDD" w:rsidRPr="002D009A">
        <w:rPr>
          <w:rFonts w:ascii="Cambria" w:hAnsi="Cambria"/>
          <w:sz w:val="28"/>
          <w:szCs w:val="28"/>
        </w:rPr>
        <w:t>: 2014/528</w:t>
      </w:r>
    </w:p>
    <w:p w:rsidR="002D009A" w:rsidRDefault="002D009A" w:rsidP="002D009A">
      <w:pPr>
        <w:pStyle w:val="Gvdemetni0"/>
        <w:shd w:val="clear" w:color="auto" w:fill="auto"/>
        <w:tabs>
          <w:tab w:val="left" w:leader="underscore" w:pos="0"/>
        </w:tabs>
        <w:spacing w:after="0" w:line="240" w:lineRule="atLeast"/>
        <w:jc w:val="both"/>
        <w:rPr>
          <w:rStyle w:val="Gvdemetni1"/>
          <w:rFonts w:ascii="Cambria" w:hAnsi="Cambria"/>
          <w:sz w:val="28"/>
          <w:szCs w:val="28"/>
          <w:u w:val="none"/>
        </w:rPr>
      </w:pPr>
    </w:p>
    <w:p w:rsidR="004704A4" w:rsidRPr="002D009A" w:rsidRDefault="004A3DDD" w:rsidP="002D009A">
      <w:pPr>
        <w:pStyle w:val="Gvdemetni0"/>
        <w:shd w:val="clear" w:color="auto" w:fill="auto"/>
        <w:tabs>
          <w:tab w:val="left" w:leader="underscore" w:pos="0"/>
        </w:tabs>
        <w:spacing w:after="0" w:line="240" w:lineRule="atLeast"/>
        <w:jc w:val="both"/>
        <w:rPr>
          <w:rFonts w:ascii="Cambria" w:hAnsi="Cambria"/>
          <w:sz w:val="28"/>
          <w:szCs w:val="28"/>
        </w:rPr>
      </w:pPr>
      <w:r w:rsidRPr="002D009A">
        <w:rPr>
          <w:rStyle w:val="Gvdemetni1"/>
          <w:rFonts w:ascii="Cambria" w:hAnsi="Cambria"/>
          <w:sz w:val="28"/>
          <w:szCs w:val="28"/>
          <w:u w:val="none"/>
        </w:rPr>
        <w:t>DAVACI</w:t>
      </w:r>
      <w:r w:rsidRPr="002D009A">
        <w:rPr>
          <w:rFonts w:ascii="Cambria" w:hAnsi="Cambria"/>
          <w:sz w:val="28"/>
          <w:szCs w:val="28"/>
        </w:rPr>
        <w:t xml:space="preserve"> </w:t>
      </w:r>
      <w:r w:rsidRPr="002D009A">
        <w:rPr>
          <w:rFonts w:ascii="Cambria" w:hAnsi="Cambria"/>
          <w:sz w:val="28"/>
          <w:szCs w:val="28"/>
        </w:rPr>
        <w:tab/>
        <w:t xml:space="preserve">: </w:t>
      </w:r>
    </w:p>
    <w:p w:rsidR="004704A4" w:rsidRPr="002D009A" w:rsidRDefault="004A3DDD" w:rsidP="002D009A">
      <w:pPr>
        <w:pStyle w:val="Gvdemetni0"/>
        <w:shd w:val="clear" w:color="auto" w:fill="auto"/>
        <w:tabs>
          <w:tab w:val="left" w:leader="underscore" w:pos="0"/>
        </w:tabs>
        <w:spacing w:after="0" w:line="240" w:lineRule="atLeast"/>
        <w:jc w:val="both"/>
        <w:rPr>
          <w:rFonts w:ascii="Cambria" w:hAnsi="Cambria"/>
          <w:sz w:val="28"/>
          <w:szCs w:val="28"/>
        </w:rPr>
      </w:pPr>
      <w:r w:rsidRPr="002D009A">
        <w:rPr>
          <w:rStyle w:val="Gvdemetni1"/>
          <w:rFonts w:ascii="Cambria" w:hAnsi="Cambria"/>
          <w:sz w:val="28"/>
          <w:szCs w:val="28"/>
          <w:u w:val="none"/>
        </w:rPr>
        <w:t>DAVALI</w:t>
      </w:r>
      <w:r w:rsidRPr="002D009A">
        <w:rPr>
          <w:rFonts w:ascii="Cambria" w:hAnsi="Cambria"/>
          <w:sz w:val="28"/>
          <w:szCs w:val="28"/>
        </w:rPr>
        <w:tab/>
      </w:r>
      <w:r w:rsidR="002D009A">
        <w:rPr>
          <w:rFonts w:ascii="Cambria" w:hAnsi="Cambria"/>
          <w:sz w:val="28"/>
          <w:szCs w:val="28"/>
        </w:rPr>
        <w:t>:</w:t>
      </w:r>
      <w:r w:rsidR="0052013C" w:rsidRPr="002D009A">
        <w:rPr>
          <w:rFonts w:ascii="Cambria" w:hAnsi="Cambria"/>
          <w:sz w:val="28"/>
          <w:szCs w:val="28"/>
        </w:rPr>
        <w:t>Tapu Ve Kadas</w:t>
      </w:r>
      <w:r w:rsidR="0052013C">
        <w:rPr>
          <w:rFonts w:ascii="Cambria" w:hAnsi="Cambria"/>
          <w:sz w:val="28"/>
          <w:szCs w:val="28"/>
        </w:rPr>
        <w:t>tro Genel Müdürlüğü/</w:t>
      </w:r>
      <w:r w:rsidR="0052013C" w:rsidRPr="002D009A">
        <w:rPr>
          <w:rFonts w:ascii="Cambria" w:hAnsi="Cambria"/>
          <w:sz w:val="28"/>
          <w:szCs w:val="28"/>
        </w:rPr>
        <w:t>Ankara</w:t>
      </w:r>
    </w:p>
    <w:p w:rsidR="002D009A" w:rsidRDefault="002D009A" w:rsidP="002D009A">
      <w:pPr>
        <w:pStyle w:val="Gvdemetni0"/>
        <w:shd w:val="clear" w:color="auto" w:fill="auto"/>
        <w:tabs>
          <w:tab w:val="left" w:leader="underscore" w:pos="0"/>
        </w:tabs>
        <w:spacing w:after="0" w:line="240" w:lineRule="atLeast"/>
        <w:jc w:val="both"/>
        <w:rPr>
          <w:rStyle w:val="Gvdemetni1"/>
          <w:rFonts w:ascii="Cambria" w:hAnsi="Cambria"/>
          <w:sz w:val="28"/>
          <w:szCs w:val="28"/>
          <w:u w:val="none"/>
        </w:rPr>
      </w:pPr>
    </w:p>
    <w:p w:rsidR="004704A4" w:rsidRPr="002D009A" w:rsidRDefault="002D009A" w:rsidP="002D009A">
      <w:pPr>
        <w:pStyle w:val="Gvdemetni0"/>
        <w:shd w:val="clear" w:color="auto" w:fill="auto"/>
        <w:tabs>
          <w:tab w:val="left" w:leader="underscore" w:pos="0"/>
        </w:tabs>
        <w:spacing w:after="0" w:line="240" w:lineRule="atLeast"/>
        <w:jc w:val="both"/>
        <w:rPr>
          <w:rFonts w:ascii="Cambria" w:hAnsi="Cambria"/>
          <w:sz w:val="28"/>
          <w:szCs w:val="28"/>
        </w:rPr>
      </w:pPr>
      <w:r>
        <w:rPr>
          <w:rStyle w:val="Gvdemetni1"/>
          <w:rFonts w:ascii="Cambria" w:hAnsi="Cambria"/>
          <w:sz w:val="28"/>
          <w:szCs w:val="28"/>
          <w:u w:val="none"/>
        </w:rPr>
        <w:tab/>
      </w:r>
      <w:r w:rsidR="004A3DDD" w:rsidRPr="002D009A">
        <w:rPr>
          <w:rStyle w:val="Gvdemetni1"/>
          <w:rFonts w:ascii="Cambria" w:hAnsi="Cambria"/>
          <w:sz w:val="28"/>
          <w:szCs w:val="28"/>
          <w:u w:val="none"/>
        </w:rPr>
        <w:t>DAVANIN ÖZETİ</w:t>
      </w:r>
      <w:r w:rsidR="004A3DDD" w:rsidRPr="002D009A">
        <w:rPr>
          <w:rFonts w:ascii="Cambria" w:hAnsi="Cambria"/>
          <w:sz w:val="28"/>
          <w:szCs w:val="28"/>
        </w:rPr>
        <w:tab/>
        <w:t xml:space="preserve">: </w:t>
      </w:r>
      <w:r w:rsidR="00010739">
        <w:rPr>
          <w:rFonts w:ascii="Cambria" w:hAnsi="Cambria"/>
          <w:sz w:val="28"/>
          <w:szCs w:val="28"/>
        </w:rPr>
        <w:t>...</w:t>
      </w:r>
      <w:r w:rsidR="004A3DDD" w:rsidRPr="002D009A">
        <w:rPr>
          <w:rFonts w:ascii="Cambria" w:hAnsi="Cambria"/>
          <w:sz w:val="28"/>
          <w:szCs w:val="28"/>
        </w:rPr>
        <w:t xml:space="preserve"> </w:t>
      </w:r>
      <w:r w:rsidR="00010739" w:rsidRPr="002D009A">
        <w:rPr>
          <w:rFonts w:ascii="Cambria" w:hAnsi="Cambria"/>
          <w:sz w:val="28"/>
          <w:szCs w:val="28"/>
        </w:rPr>
        <w:t>İli</w:t>
      </w:r>
      <w:r w:rsidR="004A3DDD" w:rsidRPr="002D009A">
        <w:rPr>
          <w:rFonts w:ascii="Cambria" w:hAnsi="Cambria"/>
          <w:sz w:val="28"/>
          <w:szCs w:val="28"/>
        </w:rPr>
        <w:t xml:space="preserve">, Tapu ve </w:t>
      </w:r>
      <w:r w:rsidR="00F13EF4" w:rsidRPr="002D009A">
        <w:rPr>
          <w:rFonts w:ascii="Cambria" w:hAnsi="Cambria"/>
          <w:sz w:val="28"/>
          <w:szCs w:val="28"/>
        </w:rPr>
        <w:t>Kadastro...</w:t>
      </w:r>
      <w:r w:rsidR="004A3DDD" w:rsidRPr="002D009A">
        <w:rPr>
          <w:rFonts w:ascii="Cambria" w:hAnsi="Cambria"/>
          <w:sz w:val="28"/>
          <w:szCs w:val="28"/>
        </w:rPr>
        <w:t xml:space="preserve"> Bölge Müdürlüğü emrinde Kontrol</w:t>
      </w:r>
      <w:r>
        <w:rPr>
          <w:rFonts w:ascii="Cambria" w:hAnsi="Cambria"/>
          <w:sz w:val="28"/>
          <w:szCs w:val="28"/>
        </w:rPr>
        <w:t xml:space="preserve"> </w:t>
      </w:r>
      <w:r w:rsidR="004A3DDD" w:rsidRPr="002D009A">
        <w:rPr>
          <w:rFonts w:ascii="Cambria" w:hAnsi="Cambria"/>
          <w:sz w:val="28"/>
          <w:szCs w:val="28"/>
        </w:rPr>
        <w:t xml:space="preserve">Mühendisi olarak görev yapmakta iken, </w:t>
      </w:r>
      <w:r w:rsidR="00010739">
        <w:rPr>
          <w:rFonts w:ascii="Cambria" w:hAnsi="Cambria"/>
          <w:sz w:val="28"/>
          <w:szCs w:val="28"/>
        </w:rPr>
        <w:t>...</w:t>
      </w:r>
      <w:r w:rsidR="004A3DDD" w:rsidRPr="002D009A">
        <w:rPr>
          <w:rFonts w:ascii="Cambria" w:hAnsi="Cambria"/>
          <w:sz w:val="28"/>
          <w:szCs w:val="28"/>
        </w:rPr>
        <w:t xml:space="preserve"> </w:t>
      </w:r>
      <w:r w:rsidR="00010739" w:rsidRPr="002D009A">
        <w:rPr>
          <w:rFonts w:ascii="Cambria" w:hAnsi="Cambria"/>
          <w:sz w:val="28"/>
          <w:szCs w:val="28"/>
        </w:rPr>
        <w:t>İli</w:t>
      </w:r>
      <w:r w:rsidR="004A3DDD" w:rsidRPr="002D009A">
        <w:rPr>
          <w:rFonts w:ascii="Cambria" w:hAnsi="Cambria"/>
          <w:sz w:val="28"/>
          <w:szCs w:val="28"/>
        </w:rPr>
        <w:t>. Kadastro Müdürlüğü emrine aynı unvanla atanmasına ilişkin Tapu</w:t>
      </w:r>
      <w:r>
        <w:rPr>
          <w:rFonts w:ascii="Cambria" w:hAnsi="Cambria"/>
          <w:sz w:val="28"/>
          <w:szCs w:val="28"/>
        </w:rPr>
        <w:t xml:space="preserve"> ve Kadastro Genel Müdürlüğü'nü</w:t>
      </w:r>
      <w:r w:rsidR="004A3DDD" w:rsidRPr="002D009A">
        <w:rPr>
          <w:rFonts w:ascii="Cambria" w:hAnsi="Cambria"/>
          <w:sz w:val="28"/>
          <w:szCs w:val="28"/>
        </w:rPr>
        <w:t xml:space="preserve">n 13.07.2012 olur tarihli işleminin; çalışma süresi boyunca idari yönden herhangi bir sıkıntı yaşamadığı, yakalandığı kan hastalığı </w:t>
      </w:r>
      <w:r w:rsidR="00F13EF4" w:rsidRPr="002D009A">
        <w:rPr>
          <w:rFonts w:ascii="Cambria" w:hAnsi="Cambria"/>
          <w:sz w:val="28"/>
          <w:szCs w:val="28"/>
        </w:rPr>
        <w:t>nedeniyle...</w:t>
      </w:r>
      <w:r w:rsidR="004A3DDD" w:rsidRPr="002D009A">
        <w:rPr>
          <w:rFonts w:ascii="Cambria" w:hAnsi="Cambria"/>
          <w:sz w:val="28"/>
          <w:szCs w:val="28"/>
        </w:rPr>
        <w:t xml:space="preserve"> </w:t>
      </w:r>
      <w:r w:rsidR="00F13EF4" w:rsidRPr="002D009A">
        <w:rPr>
          <w:rFonts w:ascii="Cambria" w:hAnsi="Cambria"/>
          <w:sz w:val="28"/>
          <w:szCs w:val="28"/>
        </w:rPr>
        <w:t>Üniversitesi...</w:t>
      </w:r>
      <w:r w:rsidR="004A3DDD" w:rsidRPr="002D009A">
        <w:rPr>
          <w:rFonts w:ascii="Cambria" w:hAnsi="Cambria"/>
          <w:sz w:val="28"/>
          <w:szCs w:val="28"/>
        </w:rPr>
        <w:t xml:space="preserve"> Hastanesi'nde tedavi olduğu, yine kızının da başka bir kan hastalığı türüne yakalandığı ve</w:t>
      </w:r>
      <w:r>
        <w:rPr>
          <w:rFonts w:ascii="Cambria" w:hAnsi="Cambria"/>
          <w:sz w:val="28"/>
          <w:szCs w:val="28"/>
        </w:rPr>
        <w:t>;</w:t>
      </w:r>
      <w:r w:rsidR="004A3DDD" w:rsidRPr="002D009A">
        <w:rPr>
          <w:rFonts w:ascii="Cambria" w:hAnsi="Cambria"/>
          <w:sz w:val="28"/>
          <w:szCs w:val="28"/>
        </w:rPr>
        <w:t xml:space="preserve"> aynı hastanede tedavisinin devam etmekte olduğu, söz konusu durumlarının ilgili Yönetmelik hükümlerine göre sağlık özrü olarak değerlendirilmesi gerektiği iddialarıyla iptali istenilmektedir.</w:t>
      </w:r>
    </w:p>
    <w:p w:rsidR="002D009A" w:rsidRDefault="002D009A" w:rsidP="002D009A">
      <w:pPr>
        <w:pStyle w:val="Gvdemetni0"/>
        <w:shd w:val="clear" w:color="auto" w:fill="auto"/>
        <w:spacing w:after="0" w:line="240" w:lineRule="atLeast"/>
        <w:jc w:val="both"/>
        <w:rPr>
          <w:rStyle w:val="Gvdemetni1"/>
          <w:rFonts w:ascii="Cambria" w:hAnsi="Cambria"/>
          <w:sz w:val="28"/>
          <w:szCs w:val="28"/>
          <w:u w:val="none"/>
        </w:rPr>
      </w:pPr>
    </w:p>
    <w:p w:rsidR="004704A4" w:rsidRPr="002D009A" w:rsidRDefault="002D009A" w:rsidP="002D009A">
      <w:pPr>
        <w:pStyle w:val="Gvdemetni0"/>
        <w:shd w:val="clear" w:color="auto" w:fill="auto"/>
        <w:spacing w:after="0" w:line="240" w:lineRule="atLeast"/>
        <w:ind w:firstLine="720"/>
        <w:jc w:val="both"/>
        <w:rPr>
          <w:rFonts w:ascii="Cambria" w:hAnsi="Cambria"/>
          <w:sz w:val="28"/>
          <w:szCs w:val="28"/>
        </w:rPr>
      </w:pPr>
      <w:r>
        <w:rPr>
          <w:rStyle w:val="Gvdemetni1"/>
          <w:rFonts w:ascii="Cambria" w:hAnsi="Cambria"/>
          <w:sz w:val="28"/>
          <w:szCs w:val="28"/>
          <w:u w:val="none"/>
        </w:rPr>
        <w:t>SAVUNMANIN ÖZETİ</w:t>
      </w:r>
      <w:r>
        <w:rPr>
          <w:rStyle w:val="Gvdemetni1"/>
          <w:rFonts w:ascii="Cambria" w:hAnsi="Cambria"/>
          <w:sz w:val="28"/>
          <w:szCs w:val="28"/>
          <w:u w:val="none"/>
        </w:rPr>
        <w:tab/>
      </w:r>
      <w:r w:rsidR="004A3DDD" w:rsidRPr="002D009A">
        <w:rPr>
          <w:rStyle w:val="Gvdemetni1"/>
          <w:rFonts w:ascii="Cambria" w:hAnsi="Cambria"/>
          <w:sz w:val="28"/>
          <w:szCs w:val="28"/>
          <w:u w:val="none"/>
        </w:rPr>
        <w:t>:</w:t>
      </w:r>
      <w:r w:rsidR="004A3DDD" w:rsidRPr="002D009A">
        <w:rPr>
          <w:rFonts w:ascii="Cambria" w:hAnsi="Cambria"/>
          <w:sz w:val="28"/>
          <w:szCs w:val="28"/>
        </w:rPr>
        <w:t xml:space="preserve"> 20.06.2011 tarih ve 27970 sayılı Resmi Gazetede yayımlanarak yürürlüğe giren Tapu ve</w:t>
      </w:r>
      <w:r w:rsidR="0052013C">
        <w:rPr>
          <w:rFonts w:ascii="Cambria" w:hAnsi="Cambria"/>
          <w:sz w:val="28"/>
          <w:szCs w:val="28"/>
        </w:rPr>
        <w:t>;</w:t>
      </w:r>
      <w:r w:rsidR="004A3DDD" w:rsidRPr="002D009A">
        <w:rPr>
          <w:rFonts w:ascii="Cambria" w:hAnsi="Cambria"/>
          <w:sz w:val="28"/>
          <w:szCs w:val="28"/>
        </w:rPr>
        <w:t xml:space="preserve"> Kadastro Genel Müdürlüğü Personeli Atama ve Yer Değiştirme Esaslarına Dair Yönetmelik hükümleri uyarınca davacının bulunduğu hizmet bölgesinde zorunlu çalışma süresini tamamladığı, davacı ile birlikte Bölge, Kadastro ve Tapu Müdürlüklerinde değişik unvanlarda çalışan toplam 527 personelin rotasyona tabi tutulduğu, atamasının yapıldığı </w:t>
      </w:r>
      <w:r w:rsidR="00010739">
        <w:rPr>
          <w:rFonts w:ascii="Cambria" w:hAnsi="Cambria"/>
          <w:sz w:val="28"/>
          <w:szCs w:val="28"/>
        </w:rPr>
        <w:t>...</w:t>
      </w:r>
      <w:r w:rsidR="004A3DDD" w:rsidRPr="002D009A">
        <w:rPr>
          <w:rFonts w:ascii="Cambria" w:hAnsi="Cambria"/>
          <w:sz w:val="28"/>
          <w:szCs w:val="28"/>
        </w:rPr>
        <w:t xml:space="preserve"> Kadastro Müdürlüğü'nde kontrol mühendislerine ihtiyaç bulunduğu, dava konusu işlemin hukuka uygun olduğu ileri sürülerek davanın reddi gerektiği savunulmuştur.</w:t>
      </w:r>
    </w:p>
    <w:p w:rsidR="002D009A" w:rsidRDefault="002D009A" w:rsidP="002D009A">
      <w:pPr>
        <w:pStyle w:val="Gvdemetni0"/>
        <w:shd w:val="clear" w:color="auto" w:fill="auto"/>
        <w:spacing w:after="0" w:line="240" w:lineRule="atLeast"/>
        <w:jc w:val="center"/>
        <w:rPr>
          <w:rFonts w:ascii="Cambria" w:hAnsi="Cambria"/>
          <w:sz w:val="28"/>
          <w:szCs w:val="28"/>
        </w:rPr>
      </w:pPr>
    </w:p>
    <w:p w:rsidR="004704A4" w:rsidRPr="002D009A" w:rsidRDefault="004A3DDD" w:rsidP="002D009A">
      <w:pPr>
        <w:pStyle w:val="Gvdemetni0"/>
        <w:shd w:val="clear" w:color="auto" w:fill="auto"/>
        <w:spacing w:after="0" w:line="240" w:lineRule="atLeast"/>
        <w:jc w:val="center"/>
        <w:rPr>
          <w:rFonts w:ascii="Cambria" w:hAnsi="Cambria"/>
          <w:sz w:val="28"/>
          <w:szCs w:val="28"/>
        </w:rPr>
      </w:pPr>
      <w:r w:rsidRPr="002D009A">
        <w:rPr>
          <w:rFonts w:ascii="Cambria" w:hAnsi="Cambria"/>
          <w:sz w:val="28"/>
          <w:szCs w:val="28"/>
        </w:rPr>
        <w:t>TÜRK MİLLETİ ADINA</w:t>
      </w:r>
    </w:p>
    <w:p w:rsidR="002D009A" w:rsidRDefault="002D009A" w:rsidP="002D009A">
      <w:pPr>
        <w:pStyle w:val="Gvdemetni0"/>
        <w:shd w:val="clear" w:color="auto" w:fill="auto"/>
        <w:spacing w:after="0" w:line="240" w:lineRule="atLeast"/>
        <w:ind w:firstLine="74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40"/>
        <w:jc w:val="both"/>
        <w:rPr>
          <w:rFonts w:ascii="Cambria" w:hAnsi="Cambria"/>
          <w:sz w:val="28"/>
          <w:szCs w:val="28"/>
        </w:rPr>
      </w:pPr>
      <w:r w:rsidRPr="002D009A">
        <w:rPr>
          <w:rFonts w:ascii="Cambria" w:hAnsi="Cambria"/>
          <w:sz w:val="28"/>
          <w:szCs w:val="28"/>
        </w:rPr>
        <w:t>Kar</w:t>
      </w:r>
      <w:r w:rsidR="002D009A">
        <w:rPr>
          <w:rFonts w:ascii="Cambria" w:hAnsi="Cambria"/>
          <w:sz w:val="28"/>
          <w:szCs w:val="28"/>
        </w:rPr>
        <w:t xml:space="preserve">ar </w:t>
      </w:r>
      <w:r w:rsidR="00F13EF4">
        <w:rPr>
          <w:rFonts w:ascii="Cambria" w:hAnsi="Cambria"/>
          <w:sz w:val="28"/>
          <w:szCs w:val="28"/>
        </w:rPr>
        <w:t>veren...</w:t>
      </w:r>
      <w:r w:rsidR="002D009A">
        <w:rPr>
          <w:rFonts w:ascii="Cambria" w:hAnsi="Cambria"/>
          <w:sz w:val="28"/>
          <w:szCs w:val="28"/>
        </w:rPr>
        <w:t xml:space="preserve"> İdare Mahkemesi</w:t>
      </w:r>
      <w:r w:rsidRPr="002D009A">
        <w:rPr>
          <w:rFonts w:ascii="Cambria" w:hAnsi="Cambria"/>
          <w:sz w:val="28"/>
          <w:szCs w:val="28"/>
        </w:rPr>
        <w:t xml:space="preserve">'nce, </w:t>
      </w:r>
      <w:r w:rsidR="00010739" w:rsidRPr="002D009A">
        <w:rPr>
          <w:rFonts w:ascii="Cambria" w:hAnsi="Cambria"/>
          <w:sz w:val="28"/>
          <w:szCs w:val="28"/>
        </w:rPr>
        <w:t>31.12.2012</w:t>
      </w:r>
      <w:r w:rsidRPr="002D009A">
        <w:rPr>
          <w:rFonts w:ascii="Cambria" w:hAnsi="Cambria"/>
          <w:sz w:val="28"/>
          <w:szCs w:val="28"/>
        </w:rPr>
        <w:t xml:space="preserve"> tarih ve E:2012/1080, K:2012/1615 sayılı Mahkememiz kararının Danıştay Beşinci Dairesi'nin </w:t>
      </w:r>
      <w:r w:rsidR="00F13EF4" w:rsidRPr="002D009A">
        <w:rPr>
          <w:rFonts w:ascii="Cambria" w:hAnsi="Cambria"/>
          <w:sz w:val="28"/>
          <w:szCs w:val="28"/>
        </w:rPr>
        <w:t>22.11.2013</w:t>
      </w:r>
      <w:r w:rsidRPr="002D009A">
        <w:rPr>
          <w:rFonts w:ascii="Cambria" w:hAnsi="Cambria"/>
          <w:sz w:val="28"/>
          <w:szCs w:val="28"/>
        </w:rPr>
        <w:t xml:space="preserve"> gün ve E:2013/3241, K:2013/8358 sayılı kararı ile bozulması üzerine bozma kararına uyularak dava dosyası yeniden incelenmek suretiyle işin gereği görüşüldü:</w:t>
      </w:r>
    </w:p>
    <w:p w:rsidR="002D009A" w:rsidRDefault="002D009A" w:rsidP="002D009A">
      <w:pPr>
        <w:pStyle w:val="Gvdemetni0"/>
        <w:shd w:val="clear" w:color="auto" w:fill="auto"/>
        <w:spacing w:after="0" w:line="240" w:lineRule="atLeast"/>
        <w:ind w:firstLine="74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40"/>
        <w:jc w:val="both"/>
        <w:rPr>
          <w:rFonts w:ascii="Cambria" w:hAnsi="Cambria"/>
          <w:sz w:val="28"/>
          <w:szCs w:val="28"/>
        </w:rPr>
      </w:pPr>
      <w:r w:rsidRPr="002D009A">
        <w:rPr>
          <w:rFonts w:ascii="Cambria" w:hAnsi="Cambria"/>
          <w:sz w:val="28"/>
          <w:szCs w:val="28"/>
        </w:rPr>
        <w:t xml:space="preserve">Dava, </w:t>
      </w:r>
      <w:r w:rsidR="00010739">
        <w:rPr>
          <w:rFonts w:ascii="Cambria" w:hAnsi="Cambria"/>
          <w:sz w:val="28"/>
          <w:szCs w:val="28"/>
        </w:rPr>
        <w:t>...</w:t>
      </w:r>
      <w:r w:rsidRPr="002D009A">
        <w:rPr>
          <w:rFonts w:ascii="Cambria" w:hAnsi="Cambria"/>
          <w:sz w:val="28"/>
          <w:szCs w:val="28"/>
        </w:rPr>
        <w:t xml:space="preserve"> </w:t>
      </w:r>
      <w:r w:rsidR="00010739" w:rsidRPr="002D009A">
        <w:rPr>
          <w:rFonts w:ascii="Cambria" w:hAnsi="Cambria"/>
          <w:sz w:val="28"/>
          <w:szCs w:val="28"/>
        </w:rPr>
        <w:t>İli</w:t>
      </w:r>
      <w:r w:rsidRPr="002D009A">
        <w:rPr>
          <w:rFonts w:ascii="Cambria" w:hAnsi="Cambria"/>
          <w:sz w:val="28"/>
          <w:szCs w:val="28"/>
        </w:rPr>
        <w:t xml:space="preserve">, Tapu ve </w:t>
      </w:r>
      <w:r w:rsidR="00F13EF4" w:rsidRPr="002D009A">
        <w:rPr>
          <w:rFonts w:ascii="Cambria" w:hAnsi="Cambria"/>
          <w:sz w:val="28"/>
          <w:szCs w:val="28"/>
        </w:rPr>
        <w:t>Kadastro...</w:t>
      </w:r>
      <w:r w:rsidRPr="002D009A">
        <w:rPr>
          <w:rFonts w:ascii="Cambria" w:hAnsi="Cambria"/>
          <w:sz w:val="28"/>
          <w:szCs w:val="28"/>
        </w:rPr>
        <w:t xml:space="preserve"> Bölge Müdürlüğü emrinde Kontrol Mühendisi olarak görev yapmakta iken, </w:t>
      </w:r>
      <w:r w:rsidR="00010739">
        <w:rPr>
          <w:rFonts w:ascii="Cambria" w:hAnsi="Cambria"/>
          <w:sz w:val="28"/>
          <w:szCs w:val="28"/>
        </w:rPr>
        <w:t>...</w:t>
      </w:r>
      <w:r w:rsidRPr="002D009A">
        <w:rPr>
          <w:rFonts w:ascii="Cambria" w:hAnsi="Cambria"/>
          <w:sz w:val="28"/>
          <w:szCs w:val="28"/>
        </w:rPr>
        <w:t xml:space="preserve"> </w:t>
      </w:r>
      <w:r w:rsidR="00010739" w:rsidRPr="002D009A">
        <w:rPr>
          <w:rFonts w:ascii="Cambria" w:hAnsi="Cambria"/>
          <w:sz w:val="28"/>
          <w:szCs w:val="28"/>
        </w:rPr>
        <w:t>İli</w:t>
      </w:r>
      <w:r w:rsidRPr="002D009A">
        <w:rPr>
          <w:rFonts w:ascii="Cambria" w:hAnsi="Cambria"/>
          <w:sz w:val="28"/>
          <w:szCs w:val="28"/>
        </w:rPr>
        <w:t>, Kadastro Müdürlüğü emrine aynı unvanla atanmasına ilişkin Tapu ve Kadastro Genel Müdürlüğü'nün 13.07.2012 olur tarihli işleminin iptali istemiyle açılmıştır.</w:t>
      </w:r>
    </w:p>
    <w:p w:rsidR="002D009A" w:rsidRDefault="002D009A" w:rsidP="002D009A">
      <w:pPr>
        <w:pStyle w:val="Gvdemetni0"/>
        <w:shd w:val="clear" w:color="auto" w:fill="auto"/>
        <w:spacing w:after="0" w:line="240" w:lineRule="atLeast"/>
        <w:ind w:firstLine="74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40"/>
        <w:jc w:val="both"/>
        <w:rPr>
          <w:rFonts w:ascii="Cambria" w:hAnsi="Cambria"/>
          <w:sz w:val="28"/>
          <w:szCs w:val="28"/>
        </w:rPr>
      </w:pPr>
      <w:r w:rsidRPr="002D009A">
        <w:rPr>
          <w:rFonts w:ascii="Cambria" w:hAnsi="Cambria"/>
          <w:sz w:val="28"/>
          <w:szCs w:val="28"/>
        </w:rPr>
        <w:t xml:space="preserve">20.06.2011 günlü ve 27970 sayılı Resmi Gazete'de yayımlanarak yürürlüğe giren Tapu ve Kadastro Genel Müdürlüğü Personeli Atama ve Yer Değiştirme Esaslarına İlişkin Yönetmeliğin 9/1. maddesinde, hizmet bölgelerinde zorunlu </w:t>
      </w:r>
      <w:r w:rsidRPr="002D009A">
        <w:rPr>
          <w:rFonts w:ascii="Cambria" w:hAnsi="Cambria"/>
          <w:sz w:val="28"/>
          <w:szCs w:val="28"/>
        </w:rPr>
        <w:lastRenderedPageBreak/>
        <w:t>çalışma sürelerini tamamlayan personelin atamasının, personelin hangi hizmet bölgesinde görev yapmak istediği yönündeki talebinin, kamu yararı ve hizmet gerekleri de göz önüne alınarak yapılacağının; 15. maddesinin (2.) fıkrasında, Bölge ve Kadastro Müdürlüklerinde Mühendis ve Kontrol Mühendisi unvanlarında bulunanların aynı hizmet alanında on yıl görev yapabilecekleri, on yılım tamamlayanların talepleri alınarak talepleri doğrultusunda, talepte bulunmayanların resen hizmet alanının değiştirileceği; aynı maddenin 6. fıkrasında, bulunduğu hizmet bölgesinde zorunlu çalışma süresini tamamlayan ve</w:t>
      </w:r>
      <w:r w:rsidR="002D009A">
        <w:rPr>
          <w:rFonts w:ascii="Cambria" w:hAnsi="Cambria"/>
          <w:sz w:val="28"/>
          <w:szCs w:val="28"/>
        </w:rPr>
        <w:t>;</w:t>
      </w:r>
      <w:r w:rsidRPr="002D009A">
        <w:rPr>
          <w:rFonts w:ascii="Cambria" w:hAnsi="Cambria"/>
          <w:sz w:val="28"/>
          <w:szCs w:val="28"/>
        </w:rPr>
        <w:t xml:space="preserve"> yer değişikliği talebinde bulunmayan personelin, hizmetini tamamladığı bölgeler hariç olmak üzere hizmetine ihtiyaç duyulan bölgelerdeki hizmet alanlarına üç tercih yapmaları sağlanarak talepleri doğrultusunda; talep olmaması durumunda özür durumları da dikkate alınarak re'sen atamasının yapılacağı; "Özre dayalı atama" başlıklı 12. maddesinin (l)-(a) bendinde, madde hükmünde belirtilen özürlerin belgelendirilmesi halinde memurun isteği üzerine yer değiştirme suretiyle atama yapılabileceği, bunlardan sağlık durumu özür grubuna dayanarak yer değiştirme veya yerinde kalma talebinde bulunulabilmesi için, personelin kendisinin, eşinin veya kanunen bakmakla yükümlü olduğu kimselerden birinin sağlık durumunun bulunduğu yerde tehlikeye girdiğinin veya görev yerinin değişmemesi halinde tehlikeye gireceğinin Genel Yönetmeliğin ilgili</w:t>
      </w:r>
      <w:r w:rsidR="002D009A">
        <w:rPr>
          <w:rFonts w:ascii="Cambria" w:hAnsi="Cambria"/>
          <w:sz w:val="28"/>
          <w:szCs w:val="28"/>
        </w:rPr>
        <w:t xml:space="preserve"> </w:t>
      </w:r>
      <w:r w:rsidRPr="002D009A">
        <w:rPr>
          <w:rFonts w:ascii="Cambria" w:hAnsi="Cambria"/>
          <w:sz w:val="28"/>
          <w:szCs w:val="28"/>
        </w:rPr>
        <w:t>hükümlerine göre alınacak sağ</w:t>
      </w:r>
      <w:r w:rsidR="002D009A">
        <w:rPr>
          <w:rFonts w:ascii="Cambria" w:hAnsi="Cambria"/>
          <w:sz w:val="28"/>
          <w:szCs w:val="28"/>
        </w:rPr>
        <w:t>lık kurulu raporu ile belgelendi</w:t>
      </w:r>
      <w:r w:rsidR="002D009A" w:rsidRPr="002D009A">
        <w:rPr>
          <w:rFonts w:ascii="Cambria" w:hAnsi="Cambria"/>
          <w:sz w:val="28"/>
          <w:szCs w:val="28"/>
        </w:rPr>
        <w:t>rilmesinin</w:t>
      </w:r>
      <w:r w:rsidRPr="002D009A">
        <w:rPr>
          <w:rFonts w:ascii="Cambria" w:hAnsi="Cambria"/>
          <w:sz w:val="28"/>
          <w:szCs w:val="28"/>
        </w:rPr>
        <w:t xml:space="preserve"> zorunlu olduğu kurala bağlanmıştır.</w:t>
      </w:r>
    </w:p>
    <w:p w:rsidR="002D009A" w:rsidRDefault="002D009A" w:rsidP="002D009A">
      <w:pPr>
        <w:pStyle w:val="Gvdemetni0"/>
        <w:shd w:val="clear" w:color="auto" w:fill="auto"/>
        <w:spacing w:after="0" w:line="240" w:lineRule="atLeast"/>
        <w:ind w:firstLine="72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20"/>
        <w:jc w:val="both"/>
        <w:rPr>
          <w:rFonts w:ascii="Cambria" w:hAnsi="Cambria"/>
          <w:sz w:val="28"/>
          <w:szCs w:val="28"/>
        </w:rPr>
      </w:pPr>
      <w:r w:rsidRPr="002D009A">
        <w:rPr>
          <w:rFonts w:ascii="Cambria" w:hAnsi="Cambria"/>
          <w:sz w:val="28"/>
          <w:szCs w:val="28"/>
        </w:rPr>
        <w:t>Yukarıda yer verilen Yönetmelik hükmü ile gönderme yapılan Devlet Memurlarının Yer Değiştirme Suretiyle Atanmalarına İlişkin Yönetmeliğin 13. maddesinde, sağlık durumu özür grubuna dayanarak memurun yer değiştirme isteğinde bulunabilmesi için, kendisinin veya</w:t>
      </w:r>
      <w:r w:rsidR="002D009A">
        <w:rPr>
          <w:rFonts w:ascii="Cambria" w:hAnsi="Cambria"/>
          <w:sz w:val="28"/>
          <w:szCs w:val="28"/>
        </w:rPr>
        <w:t>;</w:t>
      </w:r>
      <w:r w:rsidRPr="002D009A">
        <w:rPr>
          <w:rFonts w:ascii="Cambria" w:hAnsi="Cambria"/>
          <w:sz w:val="28"/>
          <w:szCs w:val="28"/>
        </w:rPr>
        <w:t xml:space="preserve"> kanunen bakmakla yükümlü olduğu kimselerden birinin bulunduğu yerde kalmasının sağlık durumunu tehlikeye koyacağı, Devlet Memurlarının Tedavi Yardımı ve Cenaze Giderleri Yönetmeliğine göre tam teşekküllü Devlet Hastanesinden alınacak sağlık kurulu raporu ile belgelendirilmesi gerektiği kuralına yer verilmiştir.</w:t>
      </w:r>
    </w:p>
    <w:p w:rsidR="002D009A" w:rsidRDefault="002D009A" w:rsidP="002D009A">
      <w:pPr>
        <w:pStyle w:val="Gvdemetni0"/>
        <w:shd w:val="clear" w:color="auto" w:fill="auto"/>
        <w:spacing w:after="0" w:line="240" w:lineRule="atLeast"/>
        <w:ind w:firstLine="72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20"/>
        <w:jc w:val="both"/>
        <w:rPr>
          <w:rFonts w:ascii="Cambria" w:hAnsi="Cambria"/>
          <w:sz w:val="28"/>
          <w:szCs w:val="28"/>
        </w:rPr>
      </w:pPr>
      <w:r w:rsidRPr="002D009A">
        <w:rPr>
          <w:rFonts w:ascii="Cambria" w:hAnsi="Cambria"/>
          <w:sz w:val="28"/>
          <w:szCs w:val="28"/>
        </w:rPr>
        <w:t xml:space="preserve">Davacının, </w:t>
      </w:r>
      <w:r w:rsidR="00100E36">
        <w:rPr>
          <w:rFonts w:ascii="Cambria" w:hAnsi="Cambria"/>
          <w:sz w:val="28"/>
          <w:szCs w:val="28"/>
        </w:rPr>
        <w:t>...</w:t>
      </w:r>
      <w:r w:rsidRPr="002D009A">
        <w:rPr>
          <w:rFonts w:ascii="Cambria" w:hAnsi="Cambria"/>
          <w:sz w:val="28"/>
          <w:szCs w:val="28"/>
        </w:rPr>
        <w:t xml:space="preserve"> İli Tapu ve </w:t>
      </w:r>
      <w:r w:rsidR="002A606D" w:rsidRPr="002D009A">
        <w:rPr>
          <w:rFonts w:ascii="Cambria" w:hAnsi="Cambria"/>
          <w:sz w:val="28"/>
          <w:szCs w:val="28"/>
        </w:rPr>
        <w:t>Kadastro...</w:t>
      </w:r>
      <w:r w:rsidRPr="002D009A">
        <w:rPr>
          <w:rFonts w:ascii="Cambria" w:hAnsi="Cambria"/>
          <w:sz w:val="28"/>
          <w:szCs w:val="28"/>
        </w:rPr>
        <w:t xml:space="preserve"> Bölge Müdürlüğünde kontrol mühendisi olarak görev yapmakta iken, davalı idarece yerelleşmenin önlenmesi amacı ile personelin son görev yaptığı yerdeki hizmet süresi esas alınarak ilgili Yönetmelik hükümleri doğrultusunda yapılan rotasyon uygulaması kapsamında 15 yıl çalışma süresini tamamlayan 48 Mühendis ve Kontrol Mühendisinin rotasyona tabi tutulacağının ve</w:t>
      </w:r>
      <w:r w:rsidR="002D009A">
        <w:rPr>
          <w:rFonts w:ascii="Cambria" w:hAnsi="Cambria"/>
          <w:sz w:val="28"/>
          <w:szCs w:val="28"/>
        </w:rPr>
        <w:t>;</w:t>
      </w:r>
      <w:r w:rsidRPr="002D009A">
        <w:rPr>
          <w:rFonts w:ascii="Cambria" w:hAnsi="Cambria"/>
          <w:sz w:val="28"/>
          <w:szCs w:val="28"/>
        </w:rPr>
        <w:t xml:space="preserve"> bunların kimler olacağına ilişkin listenin Mart ayında Kurumun resmi internet sayfasında duyurulduğu, davacının da bulunduğu yerde 18 yıl çalıştığından dolayı rotasyon kapsamına alındığı; davacı tarafından, kendisi ile kızma </w:t>
      </w:r>
      <w:r w:rsidR="00100E36" w:rsidRPr="002D009A">
        <w:rPr>
          <w:rFonts w:ascii="Cambria" w:hAnsi="Cambria"/>
          <w:sz w:val="28"/>
          <w:szCs w:val="28"/>
        </w:rPr>
        <w:t>ait...</w:t>
      </w:r>
      <w:r w:rsidRPr="002D009A">
        <w:rPr>
          <w:rFonts w:ascii="Cambria" w:hAnsi="Cambria"/>
          <w:sz w:val="28"/>
          <w:szCs w:val="28"/>
        </w:rPr>
        <w:t xml:space="preserve"> Üniversitesi Tıp </w:t>
      </w:r>
      <w:r w:rsidR="00100E36" w:rsidRPr="002D009A">
        <w:rPr>
          <w:rFonts w:ascii="Cambria" w:hAnsi="Cambria"/>
          <w:sz w:val="28"/>
          <w:szCs w:val="28"/>
        </w:rPr>
        <w:t>Fakültesi...</w:t>
      </w:r>
      <w:r w:rsidRPr="002D009A">
        <w:rPr>
          <w:rFonts w:ascii="Cambria" w:hAnsi="Cambria"/>
          <w:sz w:val="28"/>
          <w:szCs w:val="28"/>
        </w:rPr>
        <w:t xml:space="preserve"> Hastanesi Başhekimliğince verilen 4.12.2001 ve 23.9.2003 tarihli raporlarda kendisinin ve kızının kan hastalıklarının bulunması nedeniyle sık aralıklarla takiplerinin yapıldığı belirtildiğinden; davalı idarece söz konusu özürleri dikkate alınarak davacının tam teşekküllü </w:t>
      </w:r>
      <w:r w:rsidR="002D009A" w:rsidRPr="002D009A">
        <w:rPr>
          <w:rFonts w:ascii="Cambria" w:hAnsi="Cambria"/>
          <w:sz w:val="28"/>
          <w:szCs w:val="28"/>
        </w:rPr>
        <w:t>Hematoloji</w:t>
      </w:r>
      <w:r w:rsidRPr="002D009A">
        <w:rPr>
          <w:rFonts w:ascii="Cambria" w:hAnsi="Cambria"/>
          <w:sz w:val="28"/>
          <w:szCs w:val="28"/>
        </w:rPr>
        <w:t xml:space="preserve"> Kliniğinin </w:t>
      </w:r>
      <w:r w:rsidR="00100E36" w:rsidRPr="002D009A">
        <w:rPr>
          <w:rFonts w:ascii="Cambria" w:hAnsi="Cambria"/>
          <w:sz w:val="28"/>
          <w:szCs w:val="28"/>
        </w:rPr>
        <w:t>bulunduğu...</w:t>
      </w:r>
      <w:r w:rsidRPr="002D009A">
        <w:rPr>
          <w:rFonts w:ascii="Cambria" w:hAnsi="Cambria"/>
          <w:sz w:val="28"/>
          <w:szCs w:val="28"/>
        </w:rPr>
        <w:t xml:space="preserve"> </w:t>
      </w:r>
      <w:r w:rsidR="00100E36" w:rsidRPr="002D009A">
        <w:rPr>
          <w:rFonts w:ascii="Cambria" w:hAnsi="Cambria"/>
          <w:sz w:val="28"/>
          <w:szCs w:val="28"/>
        </w:rPr>
        <w:t xml:space="preserve">İline </w:t>
      </w:r>
      <w:r w:rsidRPr="002D009A">
        <w:rPr>
          <w:rFonts w:ascii="Cambria" w:hAnsi="Cambria"/>
          <w:sz w:val="28"/>
          <w:szCs w:val="28"/>
        </w:rPr>
        <w:t>atandığı dosyanın incelenmesinden anlatılmaktadır.</w:t>
      </w:r>
    </w:p>
    <w:p w:rsidR="002D009A" w:rsidRDefault="002D009A" w:rsidP="002D009A">
      <w:pPr>
        <w:pStyle w:val="Gvdemetni0"/>
        <w:shd w:val="clear" w:color="auto" w:fill="auto"/>
        <w:spacing w:after="0" w:line="240" w:lineRule="atLeast"/>
        <w:ind w:firstLine="720"/>
        <w:jc w:val="both"/>
        <w:rPr>
          <w:rFonts w:ascii="Cambria" w:hAnsi="Cambria"/>
          <w:sz w:val="28"/>
          <w:szCs w:val="28"/>
        </w:rPr>
      </w:pPr>
    </w:p>
    <w:p w:rsidR="004704A4" w:rsidRPr="002D009A" w:rsidRDefault="004A3DDD" w:rsidP="002D009A">
      <w:pPr>
        <w:pStyle w:val="Gvdemetni0"/>
        <w:shd w:val="clear" w:color="auto" w:fill="auto"/>
        <w:spacing w:after="0" w:line="240" w:lineRule="atLeast"/>
        <w:ind w:firstLine="720"/>
        <w:jc w:val="both"/>
        <w:rPr>
          <w:rFonts w:ascii="Cambria" w:hAnsi="Cambria"/>
          <w:sz w:val="28"/>
          <w:szCs w:val="28"/>
        </w:rPr>
      </w:pPr>
      <w:r w:rsidRPr="002D009A">
        <w:rPr>
          <w:rFonts w:ascii="Cambria" w:hAnsi="Cambria"/>
          <w:sz w:val="28"/>
          <w:szCs w:val="28"/>
        </w:rPr>
        <w:t xml:space="preserve">Bu duruma göre, davacının rotasyon kapsamında bulunması nedeniyle tesis edilen naklen atama işleminde kamu yararı ve hizmet gerekleri ile mevzuata aykırılık </w:t>
      </w:r>
      <w:r w:rsidRPr="002D009A">
        <w:rPr>
          <w:rFonts w:ascii="Cambria" w:hAnsi="Cambria"/>
          <w:sz w:val="28"/>
          <w:szCs w:val="28"/>
        </w:rPr>
        <w:lastRenderedPageBreak/>
        <w:t xml:space="preserve">bulunmadığı gibi, görev </w:t>
      </w:r>
      <w:r w:rsidR="002A606D" w:rsidRPr="002D009A">
        <w:rPr>
          <w:rFonts w:ascii="Cambria" w:hAnsi="Cambria"/>
          <w:sz w:val="28"/>
          <w:szCs w:val="28"/>
        </w:rPr>
        <w:t>yaptığı...</w:t>
      </w:r>
      <w:r w:rsidRPr="002D009A">
        <w:rPr>
          <w:rFonts w:ascii="Cambria" w:hAnsi="Cambria"/>
          <w:sz w:val="28"/>
          <w:szCs w:val="28"/>
        </w:rPr>
        <w:t xml:space="preserve"> </w:t>
      </w:r>
      <w:r w:rsidR="002D009A">
        <w:rPr>
          <w:rFonts w:ascii="Cambria" w:hAnsi="Cambria"/>
          <w:sz w:val="28"/>
          <w:szCs w:val="28"/>
        </w:rPr>
        <w:t>İl’i</w:t>
      </w:r>
      <w:r w:rsidRPr="002D009A">
        <w:rPr>
          <w:rFonts w:ascii="Cambria" w:hAnsi="Cambria"/>
          <w:sz w:val="28"/>
          <w:szCs w:val="28"/>
        </w:rPr>
        <w:t>nde kalma talebini dayandırdığı hastane raporlarının, hastalığın bulunduğu yerin değişmesi halinde tehlikeye gireceğine yönelik bir belirleme içermemesi ve</w:t>
      </w:r>
      <w:r w:rsidR="002D009A">
        <w:rPr>
          <w:rFonts w:ascii="Cambria" w:hAnsi="Cambria"/>
          <w:sz w:val="28"/>
          <w:szCs w:val="28"/>
        </w:rPr>
        <w:t>;</w:t>
      </w:r>
      <w:r w:rsidRPr="002D009A">
        <w:rPr>
          <w:rFonts w:ascii="Cambria" w:hAnsi="Cambria"/>
          <w:sz w:val="28"/>
          <w:szCs w:val="28"/>
        </w:rPr>
        <w:t xml:space="preserve"> son durumu yansıtan raporlar olmaması nedeniyle idarece yerinde kalma talebinin dikkate alınmaması yönünden de tesis edilen işlemde mevzuata aykırılık görülmemiştir.</w:t>
      </w:r>
    </w:p>
    <w:p w:rsidR="002D009A" w:rsidRDefault="002D009A" w:rsidP="002D009A">
      <w:pPr>
        <w:pStyle w:val="Gvdemetni0"/>
        <w:shd w:val="clear" w:color="auto" w:fill="auto"/>
        <w:spacing w:after="0" w:line="240" w:lineRule="atLeast"/>
        <w:ind w:firstLine="720"/>
        <w:jc w:val="both"/>
        <w:rPr>
          <w:rFonts w:ascii="Cambria" w:hAnsi="Cambria"/>
          <w:sz w:val="28"/>
          <w:szCs w:val="28"/>
        </w:rPr>
      </w:pPr>
    </w:p>
    <w:p w:rsidR="004704A4" w:rsidRDefault="004A3DDD" w:rsidP="002D009A">
      <w:pPr>
        <w:pStyle w:val="Gvdemetni0"/>
        <w:shd w:val="clear" w:color="auto" w:fill="auto"/>
        <w:spacing w:after="0" w:line="240" w:lineRule="atLeast"/>
        <w:ind w:firstLine="720"/>
        <w:jc w:val="both"/>
        <w:rPr>
          <w:rFonts w:ascii="Cambria" w:hAnsi="Cambria"/>
          <w:sz w:val="28"/>
          <w:szCs w:val="28"/>
        </w:rPr>
      </w:pPr>
      <w:r w:rsidRPr="002D009A">
        <w:rPr>
          <w:rFonts w:ascii="Cambria" w:hAnsi="Cambria"/>
          <w:sz w:val="28"/>
          <w:szCs w:val="28"/>
        </w:rPr>
        <w:t>Açıklanan nedenlerle; davanın r</w:t>
      </w:r>
      <w:r w:rsidR="0052013C">
        <w:rPr>
          <w:rFonts w:ascii="Cambria" w:hAnsi="Cambria"/>
          <w:sz w:val="28"/>
          <w:szCs w:val="28"/>
        </w:rPr>
        <w:t xml:space="preserve">eddine, aşağıda dökümü yapılan </w:t>
      </w:r>
      <w:r w:rsidR="00100E36" w:rsidRPr="002D009A">
        <w:rPr>
          <w:rFonts w:ascii="Cambria" w:hAnsi="Cambria"/>
          <w:sz w:val="28"/>
          <w:szCs w:val="28"/>
        </w:rPr>
        <w:t>149,20</w:t>
      </w:r>
      <w:r w:rsidR="0052013C">
        <w:rPr>
          <w:rFonts w:ascii="Cambria" w:hAnsi="Cambria"/>
          <w:sz w:val="28"/>
          <w:szCs w:val="28"/>
        </w:rPr>
        <w:t xml:space="preserve"> TL.</w:t>
      </w:r>
      <w:r w:rsidRPr="002D009A">
        <w:rPr>
          <w:rFonts w:ascii="Cambria" w:hAnsi="Cambria"/>
          <w:sz w:val="28"/>
          <w:szCs w:val="28"/>
        </w:rPr>
        <w:t xml:space="preserve"> </w:t>
      </w:r>
      <w:r w:rsidR="00100E36" w:rsidRPr="002D009A">
        <w:rPr>
          <w:rFonts w:ascii="Cambria" w:hAnsi="Cambria"/>
          <w:sz w:val="28"/>
          <w:szCs w:val="28"/>
        </w:rPr>
        <w:t>Yargılama</w:t>
      </w:r>
      <w:r w:rsidRPr="002D009A">
        <w:rPr>
          <w:rFonts w:ascii="Cambria" w:hAnsi="Cambria"/>
          <w:sz w:val="28"/>
          <w:szCs w:val="28"/>
        </w:rPr>
        <w:t xml:space="preserve"> giderinin davacı üzerinde bırakılmasına, davalı idare tarafın</w:t>
      </w:r>
      <w:r w:rsidR="002D009A">
        <w:rPr>
          <w:rFonts w:ascii="Cambria" w:hAnsi="Cambria"/>
          <w:sz w:val="28"/>
          <w:szCs w:val="28"/>
        </w:rPr>
        <w:t xml:space="preserve">dan temyiz aşamasında yapılan </w:t>
      </w:r>
      <w:r w:rsidRPr="002D009A">
        <w:rPr>
          <w:rFonts w:ascii="Cambria" w:hAnsi="Cambria"/>
          <w:sz w:val="28"/>
          <w:szCs w:val="28"/>
        </w:rPr>
        <w:t>70,00</w:t>
      </w:r>
      <w:r w:rsidR="0052013C">
        <w:rPr>
          <w:rFonts w:ascii="Cambria" w:hAnsi="Cambria"/>
          <w:sz w:val="28"/>
          <w:szCs w:val="28"/>
        </w:rPr>
        <w:t xml:space="preserve"> T.L.</w:t>
      </w:r>
      <w:r w:rsidRPr="002D009A">
        <w:rPr>
          <w:rFonts w:ascii="Cambria" w:hAnsi="Cambria"/>
          <w:sz w:val="28"/>
          <w:szCs w:val="28"/>
        </w:rPr>
        <w:t xml:space="preserve"> posta gideri ile karar tarihinde yürürlükte bulunan Avukatlık </w:t>
      </w:r>
      <w:r w:rsidR="002D009A">
        <w:rPr>
          <w:rFonts w:ascii="Cambria" w:hAnsi="Cambria"/>
          <w:sz w:val="28"/>
          <w:szCs w:val="28"/>
        </w:rPr>
        <w:t xml:space="preserve">Asgari Ücret Tarifesi uyarınca belirlenen </w:t>
      </w:r>
      <w:r w:rsidRPr="002D009A">
        <w:rPr>
          <w:rFonts w:ascii="Cambria" w:hAnsi="Cambria"/>
          <w:sz w:val="28"/>
          <w:szCs w:val="28"/>
        </w:rPr>
        <w:t>750,00</w:t>
      </w:r>
      <w:r w:rsidR="0052013C">
        <w:rPr>
          <w:rFonts w:ascii="Cambria" w:hAnsi="Cambria"/>
          <w:sz w:val="28"/>
          <w:szCs w:val="28"/>
        </w:rPr>
        <w:t xml:space="preserve"> TL.</w:t>
      </w:r>
      <w:r w:rsidRPr="002D009A">
        <w:rPr>
          <w:rFonts w:ascii="Cambria" w:hAnsi="Cambria"/>
          <w:sz w:val="28"/>
          <w:szCs w:val="28"/>
        </w:rPr>
        <w:t xml:space="preserve"> </w:t>
      </w:r>
      <w:r w:rsidR="00100E36" w:rsidRPr="002D009A">
        <w:rPr>
          <w:rFonts w:ascii="Cambria" w:hAnsi="Cambria"/>
          <w:sz w:val="28"/>
          <w:szCs w:val="28"/>
        </w:rPr>
        <w:t>Vekalet</w:t>
      </w:r>
      <w:r w:rsidRPr="002D009A">
        <w:rPr>
          <w:rFonts w:ascii="Cambria" w:hAnsi="Cambria"/>
          <w:sz w:val="28"/>
          <w:szCs w:val="28"/>
        </w:rPr>
        <w:t xml:space="preserve"> ücretinin davacı tarafından davalı idareye ödenmesine, artan posta avansının kararın kesinleşmesinden sonra davacıya iadesine, kararın tebliğini izleyen günden itibaren 30 gün içerisinde Danıştay'a temyiz yolu açık olmak üzere, </w:t>
      </w:r>
      <w:r w:rsidR="002A606D" w:rsidRPr="002D009A">
        <w:rPr>
          <w:rFonts w:ascii="Cambria" w:hAnsi="Cambria"/>
          <w:sz w:val="28"/>
          <w:szCs w:val="28"/>
        </w:rPr>
        <w:t>11.04.2014</w:t>
      </w:r>
      <w:r w:rsidRPr="002D009A">
        <w:rPr>
          <w:rFonts w:ascii="Cambria" w:hAnsi="Cambria"/>
          <w:sz w:val="28"/>
          <w:szCs w:val="28"/>
        </w:rPr>
        <w:t xml:space="preserve"> tarihinde oybirliğiyle karar verildi.</w:t>
      </w:r>
    </w:p>
    <w:sectPr w:rsidR="004704A4" w:rsidSect="002D009A">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FFB" w:rsidRDefault="00C74FFB" w:rsidP="004704A4">
      <w:r>
        <w:separator/>
      </w:r>
    </w:p>
  </w:endnote>
  <w:endnote w:type="continuationSeparator" w:id="1">
    <w:p w:rsidR="00C74FFB" w:rsidRDefault="00C74FFB" w:rsidP="004704A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FFB" w:rsidRDefault="00C74FFB"/>
  </w:footnote>
  <w:footnote w:type="continuationSeparator" w:id="1">
    <w:p w:rsidR="00C74FFB" w:rsidRDefault="00C74F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11399" o:spid="_x0000_s2050" type="#_x0000_t136" style="position:absolute;margin-left:0;margin-top:0;width:846.75pt;height:36pt;rotation:315;z-index:-251658752;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11400" o:spid="_x0000_s2051" type="#_x0000_t136" style="position:absolute;margin-left:0;margin-top:0;width:846.75pt;height:36pt;rotation:315;z-index:-251657728;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84" w:rsidRDefault="00A4448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11398" o:spid="_x0000_s2049" type="#_x0000_t136" style="position:absolute;margin-left:0;margin-top:0;width:846.75pt;height:36pt;rotation:315;z-index:-251659776;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81"/>
  <w:drawingGridVerticalSpacing w:val="181"/>
  <w:characterSpacingControl w:val="compressPunctuation"/>
  <w:hdrShapeDefaults>
    <o:shapedefaults v:ext="edit" spidmax="3074">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4704A4"/>
    <w:rsid w:val="00010739"/>
    <w:rsid w:val="00100E36"/>
    <w:rsid w:val="002A606D"/>
    <w:rsid w:val="002D009A"/>
    <w:rsid w:val="004704A4"/>
    <w:rsid w:val="004A3DDD"/>
    <w:rsid w:val="0052013C"/>
    <w:rsid w:val="008B1368"/>
    <w:rsid w:val="00992817"/>
    <w:rsid w:val="00A44484"/>
    <w:rsid w:val="00C74FFB"/>
    <w:rsid w:val="00F13E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4A4"/>
    <w:rPr>
      <w:color w:val="00000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04A4"/>
    <w:rPr>
      <w:color w:val="000080"/>
      <w:u w:val="single"/>
    </w:rPr>
  </w:style>
  <w:style w:type="character" w:customStyle="1" w:styleId="Gvdemetni">
    <w:name w:val="Gövde metni_"/>
    <w:basedOn w:val="VarsaylanParagrafYazTipi"/>
    <w:link w:val="Gvdemetni0"/>
    <w:rsid w:val="004704A4"/>
    <w:rPr>
      <w:rFonts w:ascii="Times New Roman" w:eastAsia="Times New Roman" w:hAnsi="Times New Roman" w:cs="Times New Roman"/>
      <w:b w:val="0"/>
      <w:bCs w:val="0"/>
      <w:i w:val="0"/>
      <w:iCs w:val="0"/>
      <w:smallCaps w:val="0"/>
      <w:strike w:val="0"/>
      <w:spacing w:val="0"/>
      <w:sz w:val="21"/>
      <w:szCs w:val="21"/>
    </w:rPr>
  </w:style>
  <w:style w:type="character" w:customStyle="1" w:styleId="Gvdemetni1">
    <w:name w:val="Gövde metni"/>
    <w:basedOn w:val="Gvdemetni"/>
    <w:rsid w:val="004704A4"/>
    <w:rPr>
      <w:u w:val="single"/>
    </w:rPr>
  </w:style>
  <w:style w:type="character" w:customStyle="1" w:styleId="Gvdemetni2">
    <w:name w:val="Gövde metni (2)_"/>
    <w:basedOn w:val="VarsaylanParagrafYazTipi"/>
    <w:link w:val="Gvdemetni20"/>
    <w:rsid w:val="004704A4"/>
    <w:rPr>
      <w:rFonts w:ascii="Times New Roman" w:eastAsia="Times New Roman" w:hAnsi="Times New Roman" w:cs="Times New Roman"/>
      <w:b w:val="0"/>
      <w:bCs w:val="0"/>
      <w:i w:val="0"/>
      <w:iCs w:val="0"/>
      <w:smallCaps w:val="0"/>
      <w:strike w:val="0"/>
      <w:sz w:val="20"/>
      <w:szCs w:val="20"/>
    </w:rPr>
  </w:style>
  <w:style w:type="character" w:customStyle="1" w:styleId="Gvdemetni3">
    <w:name w:val="Gövde metni (3)_"/>
    <w:basedOn w:val="VarsaylanParagrafYazTipi"/>
    <w:link w:val="Gvdemetni30"/>
    <w:rsid w:val="004704A4"/>
    <w:rPr>
      <w:rFonts w:ascii="Times New Roman" w:eastAsia="Times New Roman" w:hAnsi="Times New Roman" w:cs="Times New Roman"/>
      <w:b w:val="0"/>
      <w:bCs w:val="0"/>
      <w:i w:val="0"/>
      <w:iCs w:val="0"/>
      <w:smallCaps w:val="0"/>
      <w:strike w:val="0"/>
      <w:spacing w:val="0"/>
      <w:sz w:val="13"/>
      <w:szCs w:val="13"/>
    </w:rPr>
  </w:style>
  <w:style w:type="character" w:customStyle="1" w:styleId="Gvdemetni31">
    <w:name w:val="Gövde metni (3)"/>
    <w:basedOn w:val="Gvdemetni3"/>
    <w:rsid w:val="004704A4"/>
  </w:style>
  <w:style w:type="character" w:customStyle="1" w:styleId="Gvdemetni4">
    <w:name w:val="Gövde metni (4)_"/>
    <w:basedOn w:val="VarsaylanParagrafYazTipi"/>
    <w:link w:val="Gvdemetni40"/>
    <w:rsid w:val="004704A4"/>
    <w:rPr>
      <w:rFonts w:ascii="Times New Roman" w:eastAsia="Times New Roman" w:hAnsi="Times New Roman" w:cs="Times New Roman"/>
      <w:b w:val="0"/>
      <w:bCs w:val="0"/>
      <w:i w:val="0"/>
      <w:iCs w:val="0"/>
      <w:smallCaps w:val="0"/>
      <w:strike w:val="0"/>
      <w:spacing w:val="20"/>
      <w:sz w:val="20"/>
      <w:szCs w:val="20"/>
    </w:rPr>
  </w:style>
  <w:style w:type="character" w:customStyle="1" w:styleId="Gvdemetni4105pt0ptbolukbraklyor">
    <w:name w:val="Gövde metni (4) + 10;5 pt;0 pt boşluk bırakılıyor"/>
    <w:basedOn w:val="Gvdemetni4"/>
    <w:rsid w:val="004704A4"/>
    <w:rPr>
      <w:spacing w:val="0"/>
      <w:sz w:val="21"/>
      <w:szCs w:val="21"/>
    </w:rPr>
  </w:style>
  <w:style w:type="character" w:customStyle="1" w:styleId="indekiler">
    <w:name w:val="İçindekiler_"/>
    <w:basedOn w:val="VarsaylanParagrafYazTipi"/>
    <w:link w:val="indekiler0"/>
    <w:rsid w:val="004704A4"/>
    <w:rPr>
      <w:rFonts w:ascii="Times New Roman" w:eastAsia="Times New Roman" w:hAnsi="Times New Roman" w:cs="Times New Roman"/>
      <w:b w:val="0"/>
      <w:bCs w:val="0"/>
      <w:i w:val="0"/>
      <w:iCs w:val="0"/>
      <w:smallCaps w:val="0"/>
      <w:strike w:val="0"/>
      <w:spacing w:val="0"/>
      <w:sz w:val="21"/>
      <w:szCs w:val="21"/>
    </w:rPr>
  </w:style>
  <w:style w:type="character" w:customStyle="1" w:styleId="indekiler1">
    <w:name w:val="İçindekiler"/>
    <w:basedOn w:val="indekiler"/>
    <w:rsid w:val="004704A4"/>
    <w:rPr>
      <w:u w:val="single"/>
    </w:rPr>
  </w:style>
  <w:style w:type="character" w:customStyle="1" w:styleId="Gvdemetni5">
    <w:name w:val="Gövde metni (5)_"/>
    <w:basedOn w:val="VarsaylanParagrafYazTipi"/>
    <w:link w:val="Gvdemetni50"/>
    <w:rsid w:val="004704A4"/>
    <w:rPr>
      <w:rFonts w:ascii="Times New Roman" w:eastAsia="Times New Roman" w:hAnsi="Times New Roman" w:cs="Times New Roman"/>
      <w:b w:val="0"/>
      <w:bCs w:val="0"/>
      <w:i w:val="0"/>
      <w:iCs w:val="0"/>
      <w:smallCaps w:val="0"/>
      <w:strike w:val="0"/>
      <w:sz w:val="20"/>
      <w:szCs w:val="20"/>
    </w:rPr>
  </w:style>
  <w:style w:type="character" w:customStyle="1" w:styleId="Gvdemetni39pt">
    <w:name w:val="Gövde metni (3) + 9 pt"/>
    <w:basedOn w:val="Gvdemetni3"/>
    <w:rsid w:val="004704A4"/>
    <w:rPr>
      <w:spacing w:val="0"/>
      <w:sz w:val="18"/>
      <w:szCs w:val="18"/>
    </w:rPr>
  </w:style>
  <w:style w:type="paragraph" w:customStyle="1" w:styleId="Gvdemetni0">
    <w:name w:val="Gövde metni"/>
    <w:basedOn w:val="Normal"/>
    <w:link w:val="Gvdemetni"/>
    <w:rsid w:val="004704A4"/>
    <w:pPr>
      <w:shd w:val="clear" w:color="auto" w:fill="FFFFFF"/>
      <w:spacing w:after="480" w:line="293" w:lineRule="exact"/>
    </w:pPr>
    <w:rPr>
      <w:rFonts w:ascii="Times New Roman" w:eastAsia="Times New Roman" w:hAnsi="Times New Roman" w:cs="Times New Roman"/>
      <w:sz w:val="21"/>
      <w:szCs w:val="21"/>
    </w:rPr>
  </w:style>
  <w:style w:type="paragraph" w:customStyle="1" w:styleId="Gvdemetni20">
    <w:name w:val="Gövde metni (2)"/>
    <w:basedOn w:val="Normal"/>
    <w:link w:val="Gvdemetni2"/>
    <w:rsid w:val="004704A4"/>
    <w:pPr>
      <w:shd w:val="clear" w:color="auto" w:fill="FFFFFF"/>
      <w:spacing w:before="180" w:after="180" w:line="0" w:lineRule="atLeast"/>
    </w:pPr>
    <w:rPr>
      <w:rFonts w:ascii="Times New Roman" w:eastAsia="Times New Roman" w:hAnsi="Times New Roman" w:cs="Times New Roman"/>
      <w:sz w:val="20"/>
      <w:szCs w:val="20"/>
    </w:rPr>
  </w:style>
  <w:style w:type="paragraph" w:customStyle="1" w:styleId="Gvdemetni30">
    <w:name w:val="Gövde metni (3)"/>
    <w:basedOn w:val="Normal"/>
    <w:link w:val="Gvdemetni3"/>
    <w:rsid w:val="004704A4"/>
    <w:pPr>
      <w:shd w:val="clear" w:color="auto" w:fill="FFFFFF"/>
      <w:spacing w:before="180" w:line="0" w:lineRule="atLeast"/>
    </w:pPr>
    <w:rPr>
      <w:rFonts w:ascii="Times New Roman" w:eastAsia="Times New Roman" w:hAnsi="Times New Roman" w:cs="Times New Roman"/>
      <w:sz w:val="13"/>
      <w:szCs w:val="13"/>
    </w:rPr>
  </w:style>
  <w:style w:type="paragraph" w:customStyle="1" w:styleId="Gvdemetni40">
    <w:name w:val="Gövde metni (4)"/>
    <w:basedOn w:val="Normal"/>
    <w:link w:val="Gvdemetni4"/>
    <w:rsid w:val="004704A4"/>
    <w:pPr>
      <w:shd w:val="clear" w:color="auto" w:fill="FFFFFF"/>
      <w:spacing w:line="293" w:lineRule="exact"/>
    </w:pPr>
    <w:rPr>
      <w:rFonts w:ascii="Times New Roman" w:eastAsia="Times New Roman" w:hAnsi="Times New Roman" w:cs="Times New Roman"/>
      <w:spacing w:val="20"/>
      <w:sz w:val="20"/>
      <w:szCs w:val="20"/>
    </w:rPr>
  </w:style>
  <w:style w:type="paragraph" w:customStyle="1" w:styleId="indekiler0">
    <w:name w:val="İçindekiler"/>
    <w:basedOn w:val="Normal"/>
    <w:link w:val="indekiler"/>
    <w:rsid w:val="004704A4"/>
    <w:pPr>
      <w:shd w:val="clear" w:color="auto" w:fill="FFFFFF"/>
      <w:spacing w:line="350" w:lineRule="exact"/>
    </w:pPr>
    <w:rPr>
      <w:rFonts w:ascii="Times New Roman" w:eastAsia="Times New Roman" w:hAnsi="Times New Roman" w:cs="Times New Roman"/>
      <w:sz w:val="21"/>
      <w:szCs w:val="21"/>
    </w:rPr>
  </w:style>
  <w:style w:type="paragraph" w:customStyle="1" w:styleId="Gvdemetni50">
    <w:name w:val="Gövde metni (5)"/>
    <w:basedOn w:val="Normal"/>
    <w:link w:val="Gvdemetni5"/>
    <w:rsid w:val="004704A4"/>
    <w:pPr>
      <w:shd w:val="clear" w:color="auto" w:fill="FFFFFF"/>
      <w:spacing w:after="180" w:line="0" w:lineRule="atLeast"/>
    </w:pPr>
    <w:rPr>
      <w:rFonts w:ascii="Times New Roman" w:eastAsia="Times New Roman" w:hAnsi="Times New Roman" w:cs="Times New Roman"/>
      <w:sz w:val="20"/>
      <w:szCs w:val="20"/>
    </w:rPr>
  </w:style>
  <w:style w:type="paragraph" w:styleId="stbilgi">
    <w:name w:val="header"/>
    <w:basedOn w:val="Normal"/>
    <w:link w:val="stbilgiChar"/>
    <w:uiPriority w:val="99"/>
    <w:semiHidden/>
    <w:unhideWhenUsed/>
    <w:rsid w:val="00A44484"/>
    <w:pPr>
      <w:tabs>
        <w:tab w:val="center" w:pos="4703"/>
        <w:tab w:val="right" w:pos="9406"/>
      </w:tabs>
    </w:pPr>
  </w:style>
  <w:style w:type="character" w:customStyle="1" w:styleId="stbilgiChar">
    <w:name w:val="Üstbilgi Char"/>
    <w:basedOn w:val="VarsaylanParagrafYazTipi"/>
    <w:link w:val="stbilgi"/>
    <w:uiPriority w:val="99"/>
    <w:semiHidden/>
    <w:rsid w:val="00A44484"/>
    <w:rPr>
      <w:color w:val="000000"/>
      <w:sz w:val="24"/>
      <w:szCs w:val="24"/>
      <w:lang/>
    </w:rPr>
  </w:style>
  <w:style w:type="paragraph" w:styleId="Altbilgi">
    <w:name w:val="footer"/>
    <w:basedOn w:val="Normal"/>
    <w:link w:val="AltbilgiChar"/>
    <w:uiPriority w:val="99"/>
    <w:semiHidden/>
    <w:unhideWhenUsed/>
    <w:rsid w:val="00A44484"/>
    <w:pPr>
      <w:tabs>
        <w:tab w:val="center" w:pos="4703"/>
        <w:tab w:val="right" w:pos="9406"/>
      </w:tabs>
    </w:pPr>
  </w:style>
  <w:style w:type="character" w:customStyle="1" w:styleId="AltbilgiChar">
    <w:name w:val="Altbilgi Char"/>
    <w:basedOn w:val="VarsaylanParagrafYazTipi"/>
    <w:link w:val="Altbilgi"/>
    <w:uiPriority w:val="99"/>
    <w:semiHidden/>
    <w:rsid w:val="00A44484"/>
    <w:rPr>
      <w:color w:val="000000"/>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2020-12-01T06:56:00Z</dcterms:created>
  <dcterms:modified xsi:type="dcterms:W3CDTF">2020-12-01T06:56:00Z</dcterms:modified>
</cp:coreProperties>
</file>