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6" w:rsidRDefault="00FD26C6" w:rsidP="001C42F6">
      <w:pPr>
        <w:spacing w:after="0" w:line="240" w:lineRule="auto"/>
        <w:jc w:val="both"/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D26C6" w:rsidTr="002123D0">
        <w:trPr>
          <w:trHeight w:val="11646"/>
        </w:trPr>
        <w:tc>
          <w:tcPr>
            <w:tcW w:w="10632" w:type="dxa"/>
          </w:tcPr>
          <w:p w:rsidR="00FD26C6" w:rsidRPr="00FD26C6" w:rsidRDefault="00CF2943" w:rsidP="001C42F6">
            <w:pPr>
              <w:pStyle w:val="ListeParagraf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AMAÇ</w:t>
            </w:r>
          </w:p>
          <w:p w:rsidR="00FD26C6" w:rsidRDefault="001C42F6" w:rsidP="001C42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Değişim Yönetimi Prosedürünün amacı;</w:t>
            </w:r>
          </w:p>
          <w:p w:rsidR="006A4FBA" w:rsidRPr="00252F63" w:rsidRDefault="006A4FBA" w:rsidP="001C42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CF2943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ISO 45001:2018İSG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istemlerinin iyileştirilmesi, (</w:t>
            </w:r>
            <w:proofErr w:type="spell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dokümante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edilmiş bilginin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revizyonu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C6" w:rsidRPr="00252F63" w:rsidRDefault="00CF2943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istemlerinde görülecek olası problemlerin giderilmesi, (</w:t>
            </w:r>
            <w:proofErr w:type="spell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dokümante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edilmiş bilginin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revizyonu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süreçlerinde (</w:t>
            </w:r>
            <w:proofErr w:type="gram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departmanlarında</w:t>
            </w:r>
            <w:proofErr w:type="gram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) görülecek olumsuz durumların giderilmesi ya da iyileştirilmesi,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Müşteri, çalışan memnuniyetini olumlu etkileyecek geliştirmelerin planlanması veya müşteri, çalışan memnuniyetinin olumsuz yönde etkileyecek sonuçların önlenmesi,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Yapılacak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eğişimlerin planlı, kontrollü ve izlenerek gerçekleştirilmesinin, yapılacak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eğişimlerin duyurulmasının, anlaşılmasının sağlanarak </w:t>
            </w:r>
            <w:proofErr w:type="gram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süreçlerindeyönetim</w:t>
            </w:r>
            <w:proofErr w:type="spell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sistemlerinin bütünlüğünün korunmasının sağlanmasını</w:t>
            </w:r>
          </w:p>
          <w:p w:rsidR="00FD26C6" w:rsidRDefault="00FD26C6" w:rsidP="004420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Liderlik ve sürekli iyileştirmenin teşvik edilmesini sağlamak amacıyla; olası problemlerin önceden tespit edilebilmesi amacıyla risk temelli düşünmenin, delile dayalı karar verme, sürekli iyileştirmede katılımın sağlanmasıdır.</w:t>
            </w:r>
          </w:p>
          <w:p w:rsidR="00CF2943" w:rsidRPr="001C42F6" w:rsidRDefault="00CF2943" w:rsidP="00442072">
            <w:pPr>
              <w:pStyle w:val="ListeParagra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Pr="001C42F6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1C42F6" w:rsidRDefault="001C42F6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Yönetimi Prosedürü; Üst Yönetim ve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Yönetim Sistemi başta olmak üzere tüm </w:t>
            </w:r>
            <w:r w:rsidR="00FD26C6" w:rsidRPr="00252F6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Kuru</w:t>
            </w:r>
            <w:r w:rsidR="00CF294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mun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süreçlerini kapsamaktadır.</w:t>
            </w:r>
          </w:p>
          <w:p w:rsidR="00CF2943" w:rsidRPr="00252F63" w:rsidRDefault="00CF2943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1C42F6" w:rsidRDefault="001C42F6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Liderlik ve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olitikası çerçevesinde,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üzere,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ve 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orumluları bu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prosedürün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uygulanmasından sorumludur.</w:t>
            </w:r>
          </w:p>
          <w:p w:rsidR="00CF2943" w:rsidRPr="00252F63" w:rsidRDefault="00CF2943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  <w:p w:rsidR="00FD26C6" w:rsidRPr="00252F63" w:rsidRDefault="00CF2943" w:rsidP="00442072">
            <w:pPr>
              <w:spacing w:after="0" w:line="240" w:lineRule="auto"/>
              <w:ind w:left="72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Kurumumuzun h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erhangi bir sürecinde yapılacak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Yö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netim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istem şartlarını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süreçlerini etkilemeden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entegre olabilmesi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amacıyla iletişim metodu E-Mail olarak kullanılmaktadır.</w:t>
            </w:r>
          </w:p>
          <w:p w:rsidR="00FD26C6" w:rsidRPr="00252F63" w:rsidRDefault="001C42F6" w:rsidP="00442072">
            <w:pPr>
              <w:spacing w:after="0" w:line="240" w:lineRule="auto"/>
              <w:ind w:left="781" w:right="2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planlama sürecinde, risk analiz ekibi gerekli riskleri önceden </w:t>
            </w:r>
            <w:r w:rsidR="00FD26C6"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“Risk Temelli Düşünme”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şartlarına uygun şekilde belirleyecektir.</w:t>
            </w:r>
          </w:p>
          <w:p w:rsidR="00FD26C6" w:rsidRPr="00252F63" w:rsidRDefault="001C42F6" w:rsidP="00442072">
            <w:pPr>
              <w:spacing w:after="0" w:line="240" w:lineRule="auto"/>
              <w:ind w:left="781" w:right="2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Sorumlusu, “Değişim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İzleme ve Entegrasyon </w:t>
            </w:r>
            <w:proofErr w:type="spell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Planlarını”AYLIK</w:t>
            </w:r>
            <w:proofErr w:type="spellEnd"/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olarak E-Posta ile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orumlularıyla paylaşmaktadır.</w:t>
            </w:r>
          </w:p>
          <w:p w:rsidR="001C42F6" w:rsidRPr="00252F63" w:rsidRDefault="001C42F6" w:rsidP="00442072">
            <w:pPr>
              <w:spacing w:after="0" w:line="240" w:lineRule="auto"/>
              <w:ind w:left="781" w:right="2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Yapılacak tüm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eğişimler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entegrasyonun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tam ve eksiksiz olabilmesi amacıyla uygulama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nde açıklanmıştır.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D26C6" w:rsidRPr="00252F63" w:rsidRDefault="001C42F6" w:rsidP="00442072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Tüm Değişimler ilk olarak “Değişim Talep Formunun” doldurulmasıyla </w:t>
            </w:r>
            <w:proofErr w:type="spellStart"/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başlar.Değişim</w:t>
            </w:r>
            <w:proofErr w:type="spellEnd"/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talep formu</w:t>
            </w:r>
          </w:p>
          <w:p w:rsidR="00FD26C6" w:rsidRPr="002123D0" w:rsidRDefault="00CF2943" w:rsidP="00442072">
            <w:pPr>
              <w:spacing w:after="0" w:line="240" w:lineRule="auto"/>
              <w:ind w:left="781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>Kurumumuz</w:t>
            </w:r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>olasıDeğişim</w:t>
            </w:r>
            <w:proofErr w:type="spellEnd"/>
            <w:r w:rsidR="00FD26C6" w:rsidRPr="0021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ihtiyaçları;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Düzeltici Faaliyetler,</w:t>
            </w:r>
          </w:p>
          <w:p w:rsidR="00FD26C6" w:rsidRPr="00252F63" w:rsidRDefault="00FD26C6" w:rsidP="0044207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İyileştirme Faaliyetleri,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İç veya Dış Tetkikler,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Kurumsal Tecrübe,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Personel Talep Formu,</w:t>
            </w:r>
          </w:p>
          <w:p w:rsidR="00FD26C6" w:rsidRPr="00252F63" w:rsidRDefault="00CF2943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Hedefleri,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Risk Aksiyon Belirleme Süreci,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Müşteri </w:t>
            </w:r>
            <w:proofErr w:type="gramStart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Şikayetleri</w:t>
            </w:r>
            <w:proofErr w:type="gramEnd"/>
            <w:r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veya geri bildirimleri,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Personel geri bildirimleri,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İş güvenliği etkenleri,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Çevresel etkenler ve değerler,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Haftalık, Aylık toplantılar,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Mevzuatlarda (Dış Kaynaklı Doküman) yapılan zorunlu Değişimler,</w:t>
            </w:r>
          </w:p>
          <w:p w:rsidR="00FD26C6" w:rsidRDefault="00FD26C6" w:rsidP="001C42F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YGG toplantı kararları sonucunda ortaya çıkabilir.</w:t>
            </w:r>
          </w:p>
          <w:p w:rsidR="002123D0" w:rsidRPr="00252F63" w:rsidRDefault="002123D0" w:rsidP="002123D0">
            <w:pPr>
              <w:pStyle w:val="ListeParagra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1C42F6" w:rsidP="00442072">
            <w:pPr>
              <w:spacing w:after="0" w:line="240" w:lineRule="auto"/>
              <w:ind w:left="781" w:right="2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ihtiyaçları yılda en az bir kez Yönetim Gözden Geçirme toplantısında veya ACİL Değişim gerektiren durumlarda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sorumlularının katılımıyla gerçekleşecek toplantılarda görüşülerek, “Değişim İzleme ve Entegrasyon Planı” dokümanıyla kayıt altına alınır.</w:t>
            </w:r>
          </w:p>
          <w:p w:rsidR="00FD26C6" w:rsidRDefault="001C42F6" w:rsidP="00442072">
            <w:pPr>
              <w:spacing w:after="0" w:line="240" w:lineRule="auto"/>
              <w:ind w:left="781" w:righ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Değişimlerin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bütünlüğünü olumsuz etkilememesi amacıyla, Değişim talep formuyla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proofErr w:type="gramStart"/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 tarafından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onaylanarak güncellenen Değişim izleme ve entegrasyon planı, iletişim matrisinde belirtilen periyod ve iletişim metoduyla 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orumlularına duyurulur.</w:t>
            </w:r>
          </w:p>
          <w:p w:rsidR="002123D0" w:rsidRPr="00252F63" w:rsidRDefault="002123D0" w:rsidP="00442072">
            <w:pPr>
              <w:spacing w:after="0" w:line="240" w:lineRule="auto"/>
              <w:ind w:left="781" w:righ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Default="001C42F6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Planlanan Değişimlerin boyutlarına göre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liderliği ve onayıyla değişikliği gerçekleştirmek üzere ilgili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sorumlu veya yetkililerinden oluşan, Değişim doğrulama, izleme ve onay ekibi Değişim İzleme ve Entegrasyon Planına işlenerek tüm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lere e-mail metoduyla bilgi verilir.</w:t>
            </w:r>
          </w:p>
          <w:p w:rsidR="002123D0" w:rsidRPr="00252F63" w:rsidRDefault="002123D0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Pr="00252F63" w:rsidRDefault="001C42F6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İzleme ve Entegrasyon sürecinden olumsuz etkileyeceğini düşünen veya planlanan değişikliğin daha iyi olmasını sağlayacak öneriye sahip </w:t>
            </w:r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sorumluları, Değişim talep formunu doldurarak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proofErr w:type="gramStart"/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Temsilcisine 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iletmelidirler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6C6" w:rsidRDefault="001C42F6" w:rsidP="00442072">
            <w:pPr>
              <w:spacing w:after="0" w:line="240" w:lineRule="auto"/>
              <w:ind w:left="781" w:righ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Yönetim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orumlusu, gelen talepler doğrultusunda olası riskleri engellemek adına, gerekli gördüğünde YGG toplantı duyuru formu ve diğer YGG dokümanlarını kullanarak acil toplantı düzenleyebilir.</w:t>
            </w:r>
          </w:p>
          <w:p w:rsidR="002123D0" w:rsidRPr="00252F63" w:rsidRDefault="002123D0" w:rsidP="00442072">
            <w:pPr>
              <w:spacing w:after="0" w:line="240" w:lineRule="auto"/>
              <w:ind w:left="781" w:righ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6" w:rsidRDefault="001C42F6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izleme ve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planında yer alan ve onaylanan Değişimler, Değişim onay listesine eklendiğinde doğrulanmış ve onaylanmış kabul edilir. Bu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la Değişim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nay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istesi, Değişim ekibinin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 xml:space="preserve"> (İSG Birimi)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bilgisinde, </w:t>
            </w:r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8E3FB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tarafından onaylanmaktadır.</w:t>
            </w:r>
          </w:p>
          <w:p w:rsidR="002123D0" w:rsidRPr="00252F63" w:rsidRDefault="002123D0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Default="001C42F6" w:rsidP="00442072">
            <w:pPr>
              <w:spacing w:after="0" w:line="240" w:lineRule="auto"/>
              <w:ind w:left="781" w:right="2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Değişim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Ekibi (İSG Birimi)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, planlanan her değişikliğin gerçekleştirilmesinden, doğrulanmasından ve izlenmesinden sorumlu olmak üzere, değişikliğin yapılacağı </w:t>
            </w:r>
            <w:proofErr w:type="spellStart"/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dahil, Değişim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en doğrudan veya dolaylı etkilenebilecek </w:t>
            </w:r>
            <w:proofErr w:type="spellStart"/>
            <w:r w:rsidR="006A4FB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orumlularından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943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önetim</w:t>
            </w:r>
            <w:proofErr w:type="spell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orumlusu tarafından seçilerek, Değişim izleme ve </w:t>
            </w:r>
            <w:proofErr w:type="gramStart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="00FD26C6" w:rsidRPr="00252F63">
              <w:rPr>
                <w:rFonts w:ascii="Times New Roman" w:hAnsi="Times New Roman" w:cs="Times New Roman"/>
                <w:sz w:val="24"/>
                <w:szCs w:val="24"/>
              </w:rPr>
              <w:t xml:space="preserve"> planında “Değişim Ekibi” alanında belirtilir.</w:t>
            </w:r>
          </w:p>
          <w:p w:rsidR="002123D0" w:rsidRDefault="002123D0" w:rsidP="002123D0">
            <w:pPr>
              <w:spacing w:after="0" w:line="240" w:lineRule="auto"/>
              <w:ind w:left="7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91" w:rsidRDefault="00844E91" w:rsidP="002123D0">
            <w:pPr>
              <w:spacing w:after="0" w:line="240" w:lineRule="auto"/>
              <w:ind w:left="7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91" w:rsidRPr="00252F63" w:rsidRDefault="00844E91" w:rsidP="002123D0">
            <w:pPr>
              <w:spacing w:after="0" w:line="240" w:lineRule="auto"/>
              <w:ind w:left="7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C42F6" w:rsidRPr="001C42F6" w:rsidRDefault="00FD26C6" w:rsidP="001C42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Değişim İzleme ve Entegrasyon Planı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Değişim Talep Formu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Değişim Onay Listesi</w:t>
            </w:r>
          </w:p>
          <w:p w:rsidR="00FD26C6" w:rsidRPr="00252F63" w:rsidRDefault="00FD26C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3">
              <w:rPr>
                <w:rFonts w:ascii="Times New Roman" w:hAnsi="Times New Roman" w:cs="Times New Roman"/>
                <w:sz w:val="24"/>
                <w:szCs w:val="24"/>
              </w:rPr>
              <w:t>İletişim Matrisi</w:t>
            </w:r>
          </w:p>
          <w:p w:rsidR="00FD26C6" w:rsidRDefault="001C42F6" w:rsidP="001C42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Gözden Geçirme Kayıtlar</w:t>
            </w:r>
          </w:p>
          <w:p w:rsid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F6" w:rsidRPr="001C42F6" w:rsidRDefault="001C42F6" w:rsidP="001C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FD" w:rsidRPr="00BE6B12" w:rsidRDefault="00265AFD" w:rsidP="001C42F6">
      <w:pPr>
        <w:spacing w:after="0" w:line="240" w:lineRule="auto"/>
        <w:jc w:val="both"/>
      </w:pPr>
    </w:p>
    <w:sectPr w:rsidR="00265AFD" w:rsidRPr="00BE6B12" w:rsidSect="00DF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BA" w:rsidRDefault="006A4FBA" w:rsidP="00DB3FF5">
      <w:pPr>
        <w:spacing w:after="0" w:line="240" w:lineRule="auto"/>
      </w:pPr>
      <w:r>
        <w:separator/>
      </w:r>
    </w:p>
  </w:endnote>
  <w:endnote w:type="continuationSeparator" w:id="0">
    <w:p w:rsidR="006A4FBA" w:rsidRDefault="006A4FBA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5" w:rsidRDefault="00EE1C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E1C45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E1C45" w:rsidRPr="00AE2480" w:rsidRDefault="00EE1C4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E1C45" w:rsidRPr="00AE2480" w:rsidTr="00C17F72">
      <w:trPr>
        <w:trHeight w:val="790"/>
      </w:trPr>
      <w:tc>
        <w:tcPr>
          <w:tcW w:w="5245" w:type="dxa"/>
        </w:tcPr>
        <w:p w:rsidR="00EE1C45" w:rsidRPr="009D7BAD" w:rsidRDefault="00EE1C4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E1C45" w:rsidRPr="009D7BAD" w:rsidRDefault="00EE1C4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E1C45" w:rsidRPr="009D7BAD" w:rsidRDefault="00EE1C4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E1C45" w:rsidRPr="009D7BAD" w:rsidRDefault="00EE1C4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A4FBA" w:rsidRPr="000C3C62" w:rsidRDefault="006A4FBA" w:rsidP="000C3C62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5" w:rsidRDefault="00EE1C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BA" w:rsidRDefault="006A4FBA" w:rsidP="00DB3FF5">
      <w:pPr>
        <w:spacing w:after="0" w:line="240" w:lineRule="auto"/>
      </w:pPr>
      <w:r>
        <w:separator/>
      </w:r>
    </w:p>
  </w:footnote>
  <w:footnote w:type="continuationSeparator" w:id="0">
    <w:p w:rsidR="006A4FBA" w:rsidRDefault="006A4FBA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5" w:rsidRDefault="00EE1C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984"/>
      <w:gridCol w:w="1862"/>
    </w:tblGrid>
    <w:tr w:rsidR="006A4FBA" w:rsidRPr="00910679" w:rsidTr="00B00616">
      <w:trPr>
        <w:cantSplit/>
        <w:trHeight w:hRule="exact" w:val="340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4C4A80" w:rsidRDefault="006A4FBA" w:rsidP="002123D0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71600" cy="1057275"/>
                <wp:effectExtent l="19050" t="0" r="0" b="0"/>
                <wp:docPr id="83" name="Resim 83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ED7D31" w:themeFill="accent2"/>
          <w:vAlign w:val="center"/>
        </w:tcPr>
        <w:p w:rsidR="006A4FBA" w:rsidRPr="00AC30B2" w:rsidRDefault="006A4FBA" w:rsidP="00DE252F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AC30B2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A4FBA" w:rsidRPr="00470889" w:rsidRDefault="006A4FBA" w:rsidP="00DE252F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AC30B2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A4FBA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A13C49" w:rsidRDefault="006A4FBA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6A4FBA" w:rsidRPr="00D3002A" w:rsidRDefault="006A4FBA" w:rsidP="006A4FBA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CF2943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CF2943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Pr="00CF2943">
            <w:rPr>
              <w:rFonts w:ascii="Times New Roman" w:hAnsi="Times New Roman"/>
              <w:sz w:val="22"/>
              <w:szCs w:val="22"/>
            </w:rPr>
            <w:t>-PR.0</w:t>
          </w:r>
          <w:r>
            <w:rPr>
              <w:rFonts w:ascii="Times New Roman" w:hAnsi="Times New Roman"/>
              <w:sz w:val="22"/>
              <w:szCs w:val="22"/>
            </w:rPr>
            <w:t>0</w:t>
          </w:r>
          <w:r w:rsidRPr="00CF2943">
            <w:rPr>
              <w:rFonts w:ascii="Times New Roman" w:hAnsi="Times New Roman"/>
              <w:sz w:val="22"/>
              <w:szCs w:val="22"/>
            </w:rPr>
            <w:t>4</w:t>
          </w:r>
        </w:p>
      </w:tc>
    </w:tr>
    <w:tr w:rsidR="006A4FBA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A13C49" w:rsidRDefault="006A4FBA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6A4FBA" w:rsidRPr="0007787B" w:rsidRDefault="006A4FBA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proofErr w:type="spellStart"/>
          <w:r w:rsidRPr="00CF294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F2943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00</w:t>
          </w:r>
        </w:p>
      </w:tc>
    </w:tr>
    <w:tr w:rsidR="006A4FBA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A13C49" w:rsidRDefault="006A4FBA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6A4FBA" w:rsidRPr="0007787B" w:rsidRDefault="006A4FBA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proofErr w:type="spellStart"/>
          <w:r w:rsidRPr="00CF294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F2943">
            <w:rPr>
              <w:rFonts w:ascii="Times New Roman" w:hAnsi="Times New Roman"/>
              <w:b/>
              <w:bCs/>
            </w:rPr>
            <w:t>. Tarihi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proofErr w:type="gramStart"/>
          <w:r w:rsidRPr="00CF2943">
            <w:rPr>
              <w:rFonts w:ascii="Times New Roman" w:hAnsi="Times New Roman"/>
              <w:b/>
              <w:bCs/>
            </w:rPr>
            <w:t>…..</w:t>
          </w:r>
          <w:proofErr w:type="gramEnd"/>
          <w:r w:rsidRPr="00CF2943">
            <w:rPr>
              <w:rFonts w:ascii="Times New Roman" w:hAnsi="Times New Roman"/>
              <w:b/>
              <w:bCs/>
            </w:rPr>
            <w:t>/…../…..</w:t>
          </w:r>
        </w:p>
      </w:tc>
    </w:tr>
    <w:tr w:rsidR="006A4FBA" w:rsidRPr="00910679" w:rsidTr="00B00616">
      <w:trPr>
        <w:cantSplit/>
        <w:trHeight w:hRule="exact" w:val="340"/>
      </w:trPr>
      <w:tc>
        <w:tcPr>
          <w:tcW w:w="228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A13C49" w:rsidRDefault="006A4FBA" w:rsidP="006A4FBA">
          <w:pPr>
            <w:jc w:val="center"/>
          </w:pPr>
        </w:p>
      </w:tc>
      <w:tc>
        <w:tcPr>
          <w:tcW w:w="4518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D7D31" w:themeFill="accent2"/>
        </w:tcPr>
        <w:p w:rsidR="006A4FBA" w:rsidRPr="0007787B" w:rsidRDefault="006A4FBA" w:rsidP="006A4FBA">
          <w:pPr>
            <w:rPr>
              <w:bCs/>
            </w:rPr>
          </w:pP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6A4FBA" w:rsidP="00AC30B2">
          <w:pPr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CF2943" w:rsidRDefault="0099674B" w:rsidP="002123D0">
          <w:pPr>
            <w:ind w:left="459"/>
            <w:rPr>
              <w:rFonts w:ascii="Times New Roman" w:hAnsi="Times New Roman"/>
              <w:b/>
              <w:bCs/>
            </w:rPr>
          </w:pPr>
          <w:r w:rsidRPr="00CF2943">
            <w:rPr>
              <w:rFonts w:ascii="Times New Roman" w:hAnsi="Times New Roman"/>
              <w:b/>
              <w:bCs/>
            </w:rPr>
            <w:fldChar w:fldCharType="begin"/>
          </w:r>
          <w:r w:rsidR="006A4FBA" w:rsidRPr="00CF2943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F2943">
            <w:rPr>
              <w:rFonts w:ascii="Times New Roman" w:hAnsi="Times New Roman"/>
              <w:b/>
              <w:bCs/>
            </w:rPr>
            <w:fldChar w:fldCharType="separate"/>
          </w:r>
          <w:r w:rsidR="00844E91">
            <w:rPr>
              <w:rFonts w:ascii="Times New Roman" w:hAnsi="Times New Roman"/>
              <w:b/>
              <w:bCs/>
              <w:noProof/>
            </w:rPr>
            <w:t>3</w:t>
          </w:r>
          <w:r w:rsidRPr="00CF2943">
            <w:rPr>
              <w:rFonts w:ascii="Times New Roman" w:hAnsi="Times New Roman"/>
              <w:b/>
              <w:bCs/>
            </w:rPr>
            <w:fldChar w:fldCharType="end"/>
          </w:r>
          <w:r w:rsidR="006A4FBA" w:rsidRPr="00CF2943">
            <w:rPr>
              <w:rFonts w:ascii="Times New Roman" w:hAnsi="Times New Roman"/>
              <w:b/>
              <w:bCs/>
            </w:rPr>
            <w:t xml:space="preserve"> / </w:t>
          </w:r>
          <w:r w:rsidR="00EE1C45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EE1C45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EE1C45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844E91">
            <w:rPr>
              <w:rFonts w:ascii="Times New Roman" w:hAnsi="Times New Roman"/>
              <w:b/>
              <w:bCs/>
              <w:noProof/>
            </w:rPr>
            <w:t>3</w:t>
          </w:r>
          <w:r w:rsidR="00EE1C45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6A4FBA" w:rsidRPr="00BC733A" w:rsidTr="00BE6B12">
      <w:trPr>
        <w:cantSplit/>
        <w:trHeight w:hRule="exact" w:val="719"/>
      </w:trPr>
      <w:tc>
        <w:tcPr>
          <w:tcW w:w="228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Default="006A4FBA" w:rsidP="006A4FB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257300" cy="419100"/>
                <wp:effectExtent l="0" t="0" r="0" b="0"/>
                <wp:docPr id="8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892" cy="4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6A4FBA" w:rsidRPr="00B00616" w:rsidRDefault="006A4FBA" w:rsidP="00CF2943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B00616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DEĞİŞİM YÖNETİMİ PROSEDÜRÜ</w:t>
          </w:r>
        </w:p>
      </w:tc>
    </w:tr>
  </w:tbl>
  <w:p w:rsidR="006A4FBA" w:rsidRDefault="006A4F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5" w:rsidRDefault="00EE1C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23732"/>
    <w:multiLevelType w:val="hybridMultilevel"/>
    <w:tmpl w:val="0EE2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F5"/>
    <w:rsid w:val="0000531C"/>
    <w:rsid w:val="0002799B"/>
    <w:rsid w:val="00036E47"/>
    <w:rsid w:val="00062BE0"/>
    <w:rsid w:val="00082BF3"/>
    <w:rsid w:val="000B1A97"/>
    <w:rsid w:val="000C3C62"/>
    <w:rsid w:val="000C7F3D"/>
    <w:rsid w:val="000F3E89"/>
    <w:rsid w:val="001515E0"/>
    <w:rsid w:val="001B364C"/>
    <w:rsid w:val="001C42F6"/>
    <w:rsid w:val="001D6F90"/>
    <w:rsid w:val="002123D0"/>
    <w:rsid w:val="00252F63"/>
    <w:rsid w:val="00265AFD"/>
    <w:rsid w:val="00287330"/>
    <w:rsid w:val="002D04BE"/>
    <w:rsid w:val="002E3704"/>
    <w:rsid w:val="00351113"/>
    <w:rsid w:val="003C5D10"/>
    <w:rsid w:val="003E085E"/>
    <w:rsid w:val="003E5273"/>
    <w:rsid w:val="00431766"/>
    <w:rsid w:val="00440B48"/>
    <w:rsid w:val="00442072"/>
    <w:rsid w:val="00454BAA"/>
    <w:rsid w:val="00493830"/>
    <w:rsid w:val="00545B81"/>
    <w:rsid w:val="00592ED7"/>
    <w:rsid w:val="00627C34"/>
    <w:rsid w:val="00665C08"/>
    <w:rsid w:val="006A4FBA"/>
    <w:rsid w:val="006C5B90"/>
    <w:rsid w:val="006D0BED"/>
    <w:rsid w:val="006D0CC8"/>
    <w:rsid w:val="00723414"/>
    <w:rsid w:val="007B4E19"/>
    <w:rsid w:val="007B5B2D"/>
    <w:rsid w:val="007C011C"/>
    <w:rsid w:val="007D2840"/>
    <w:rsid w:val="008209C9"/>
    <w:rsid w:val="00827404"/>
    <w:rsid w:val="00844E91"/>
    <w:rsid w:val="00853CAC"/>
    <w:rsid w:val="0087110F"/>
    <w:rsid w:val="008E3FB5"/>
    <w:rsid w:val="009402F2"/>
    <w:rsid w:val="0096796B"/>
    <w:rsid w:val="0099674B"/>
    <w:rsid w:val="00A61C5A"/>
    <w:rsid w:val="00A67794"/>
    <w:rsid w:val="00AC30B2"/>
    <w:rsid w:val="00B00616"/>
    <w:rsid w:val="00B017E4"/>
    <w:rsid w:val="00B321EB"/>
    <w:rsid w:val="00B37218"/>
    <w:rsid w:val="00BB1C7C"/>
    <w:rsid w:val="00BD003E"/>
    <w:rsid w:val="00BD63C7"/>
    <w:rsid w:val="00BE6B12"/>
    <w:rsid w:val="00C52C1B"/>
    <w:rsid w:val="00CC7ABC"/>
    <w:rsid w:val="00CF2943"/>
    <w:rsid w:val="00D359C4"/>
    <w:rsid w:val="00D95E5F"/>
    <w:rsid w:val="00DB3FF5"/>
    <w:rsid w:val="00DE252F"/>
    <w:rsid w:val="00DE5E8F"/>
    <w:rsid w:val="00DE69A9"/>
    <w:rsid w:val="00DF53D0"/>
    <w:rsid w:val="00E102A9"/>
    <w:rsid w:val="00E505D5"/>
    <w:rsid w:val="00EC3A62"/>
    <w:rsid w:val="00EE1C45"/>
    <w:rsid w:val="00FD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62431F-5ED4-4DD9-A2A6-8B155AF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C6"/>
  </w:style>
  <w:style w:type="paragraph" w:styleId="Balk3">
    <w:name w:val="heading 3"/>
    <w:basedOn w:val="Normal"/>
    <w:next w:val="Normal"/>
    <w:link w:val="Balk3Char"/>
    <w:qFormat/>
    <w:rsid w:val="007B5B2D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3Char">
    <w:name w:val="Başlık 3 Char"/>
    <w:basedOn w:val="VarsaylanParagrafYazTipi"/>
    <w:link w:val="Balk3"/>
    <w:rsid w:val="007B5B2D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DF76-0C10-46F4-8452-64DA09B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46</cp:revision>
  <cp:lastPrinted>2021-03-02T12:56:00Z</cp:lastPrinted>
  <dcterms:created xsi:type="dcterms:W3CDTF">2018-01-23T09:39:00Z</dcterms:created>
  <dcterms:modified xsi:type="dcterms:W3CDTF">2021-03-05T09:36:00Z</dcterms:modified>
</cp:coreProperties>
</file>