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12" w:rsidRDefault="005A5412" w:rsidP="00B5251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A5412">
        <w:rPr>
          <w:b/>
          <w:sz w:val="28"/>
          <w:szCs w:val="28"/>
        </w:rPr>
        <w:t>TAPU VE KADASTRO GENEL MÜDÜRLÜĞÜ</w:t>
      </w:r>
    </w:p>
    <w:p w:rsidR="00F46ACE" w:rsidRPr="002D2DBA" w:rsidRDefault="005A5412" w:rsidP="00B52517">
      <w:pPr>
        <w:spacing w:line="240" w:lineRule="auto"/>
        <w:jc w:val="center"/>
        <w:rPr>
          <w:b/>
          <w:sz w:val="32"/>
          <w:szCs w:val="28"/>
        </w:rPr>
      </w:pPr>
      <w:r w:rsidRPr="002D2DBA">
        <w:rPr>
          <w:b/>
          <w:sz w:val="32"/>
          <w:szCs w:val="28"/>
        </w:rPr>
        <w:t>KAMU İÇ KONTROL STANDARTLARINA UYUM EYLEM PLANI</w:t>
      </w:r>
    </w:p>
    <w:tbl>
      <w:tblPr>
        <w:tblStyle w:val="TabloKlavuzu"/>
        <w:tblpPr w:leftFromText="141" w:rightFromText="141" w:vertAnchor="text" w:horzAnchor="margin" w:tblpX="-176" w:tblpY="374"/>
        <w:tblW w:w="14396" w:type="dxa"/>
        <w:tblLook w:val="04A0" w:firstRow="1" w:lastRow="0" w:firstColumn="1" w:lastColumn="0" w:noHBand="0" w:noVBand="1"/>
      </w:tblPr>
      <w:tblGrid>
        <w:gridCol w:w="1242"/>
        <w:gridCol w:w="3912"/>
        <w:gridCol w:w="2501"/>
        <w:gridCol w:w="2643"/>
        <w:gridCol w:w="2171"/>
        <w:gridCol w:w="1927"/>
      </w:tblGrid>
      <w:tr w:rsidR="003B4EC3" w:rsidTr="00903B8E">
        <w:trPr>
          <w:trHeight w:val="553"/>
        </w:trPr>
        <w:tc>
          <w:tcPr>
            <w:tcW w:w="1242" w:type="dxa"/>
            <w:shd w:val="clear" w:color="auto" w:fill="548DD4" w:themeFill="text2" w:themeFillTint="99"/>
            <w:vAlign w:val="center"/>
          </w:tcPr>
          <w:p w:rsidR="003B4EC3" w:rsidRPr="005A5412" w:rsidRDefault="003B4EC3" w:rsidP="00903B8E">
            <w:pPr>
              <w:rPr>
                <w:rFonts w:ascii="Arial" w:eastAsia="Times New Roman" w:hAnsi="Arial" w:cs="Arial"/>
                <w:b/>
                <w:bCs/>
                <w:color w:val="3209C7"/>
                <w:sz w:val="18"/>
                <w:szCs w:val="18"/>
              </w:rPr>
            </w:pPr>
            <w:proofErr w:type="gramStart"/>
            <w:r w:rsidRPr="00A03EF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Standart  ve</w:t>
            </w:r>
            <w:proofErr w:type="gramEnd"/>
            <w:r w:rsidRPr="00A03EF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  Eylem Kod No</w:t>
            </w:r>
          </w:p>
        </w:tc>
        <w:tc>
          <w:tcPr>
            <w:tcW w:w="3912" w:type="dxa"/>
            <w:tcBorders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3B4EC3" w:rsidRPr="005A5412" w:rsidRDefault="003B4EC3" w:rsidP="00903B8E">
            <w:pPr>
              <w:rPr>
                <w:rFonts w:ascii="Arial" w:eastAsia="Times New Roman" w:hAnsi="Arial" w:cs="Arial"/>
                <w:b/>
                <w:bCs/>
                <w:color w:val="3209C7"/>
                <w:sz w:val="18"/>
                <w:szCs w:val="18"/>
              </w:rPr>
            </w:pPr>
            <w:r w:rsidRPr="00A03EF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Standart ve Öngörülen Eylemler</w:t>
            </w:r>
          </w:p>
        </w:tc>
        <w:tc>
          <w:tcPr>
            <w:tcW w:w="2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3B4EC3" w:rsidRPr="005A5412" w:rsidRDefault="003B4EC3" w:rsidP="00903B8E">
            <w:pPr>
              <w:rPr>
                <w:rFonts w:ascii="Arial" w:eastAsia="Times New Roman" w:hAnsi="Arial" w:cs="Arial"/>
                <w:b/>
                <w:bCs/>
                <w:color w:val="3209C7"/>
                <w:sz w:val="18"/>
                <w:szCs w:val="18"/>
              </w:rPr>
            </w:pPr>
            <w:r w:rsidRPr="00A03EF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Sorumlu Birim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3B4EC3" w:rsidRPr="00A03EF3" w:rsidRDefault="003B4EC3" w:rsidP="00903B8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Çıktı/Sonuç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3B4EC3" w:rsidRPr="005A5412" w:rsidRDefault="003B4EC3" w:rsidP="00903B8E">
            <w:pPr>
              <w:rPr>
                <w:rFonts w:ascii="Arial" w:eastAsia="Times New Roman" w:hAnsi="Arial" w:cs="Arial"/>
                <w:b/>
                <w:bCs/>
                <w:color w:val="3209C7"/>
                <w:sz w:val="18"/>
                <w:szCs w:val="18"/>
              </w:rPr>
            </w:pPr>
            <w:r w:rsidRPr="00A03EF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Başlama Tarihi</w:t>
            </w:r>
          </w:p>
        </w:tc>
        <w:tc>
          <w:tcPr>
            <w:tcW w:w="1927" w:type="dxa"/>
            <w:tcBorders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:rsidR="003B4EC3" w:rsidRPr="005A5412" w:rsidRDefault="003B4EC3" w:rsidP="00903B8E">
            <w:pPr>
              <w:rPr>
                <w:rFonts w:ascii="Arial" w:eastAsia="Times New Roman" w:hAnsi="Arial" w:cs="Arial"/>
                <w:b/>
                <w:bCs/>
                <w:color w:val="3209C7"/>
                <w:sz w:val="18"/>
                <w:szCs w:val="18"/>
              </w:rPr>
            </w:pPr>
            <w:r w:rsidRPr="00A03EF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Tamamlanma Tarihi</w:t>
            </w:r>
          </w:p>
        </w:tc>
      </w:tr>
      <w:tr w:rsidR="0031681E" w:rsidTr="00903B8E">
        <w:trPr>
          <w:trHeight w:val="843"/>
        </w:trPr>
        <w:tc>
          <w:tcPr>
            <w:tcW w:w="1242" w:type="dxa"/>
            <w:vAlign w:val="center"/>
          </w:tcPr>
          <w:p w:rsidR="0031681E" w:rsidRDefault="006D5534" w:rsidP="00C054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534">
              <w:rPr>
                <w:rFonts w:ascii="Arial" w:hAnsi="Arial" w:cs="Arial"/>
                <w:sz w:val="16"/>
                <w:szCs w:val="16"/>
              </w:rPr>
              <w:t>KOS 1.1/3</w:t>
            </w:r>
          </w:p>
        </w:tc>
        <w:tc>
          <w:tcPr>
            <w:tcW w:w="3912" w:type="dxa"/>
            <w:vAlign w:val="center"/>
          </w:tcPr>
          <w:p w:rsidR="0031681E" w:rsidRPr="0031681E" w:rsidRDefault="006D5534" w:rsidP="00220EB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D5534">
              <w:rPr>
                <w:rFonts w:ascii="Arial" w:eastAsia="Times New Roman" w:hAnsi="Arial" w:cs="Arial"/>
                <w:sz w:val="18"/>
                <w:szCs w:val="18"/>
              </w:rPr>
              <w:t>İç kontrol farkındalığının arttırılması amacıyla Afiş hazırlanması veya bilgilendirme e-postası gönderilmesi</w:t>
            </w:r>
          </w:p>
        </w:tc>
        <w:tc>
          <w:tcPr>
            <w:tcW w:w="2501" w:type="dxa"/>
            <w:tcBorders>
              <w:right w:val="single" w:sz="4" w:space="0" w:color="auto"/>
            </w:tcBorders>
            <w:vAlign w:val="center"/>
          </w:tcPr>
          <w:p w:rsidR="0031681E" w:rsidRPr="0031681E" w:rsidRDefault="006D5534" w:rsidP="003168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5534">
              <w:rPr>
                <w:rFonts w:ascii="Arial" w:eastAsia="Times New Roman" w:hAnsi="Arial" w:cs="Arial"/>
                <w:sz w:val="18"/>
                <w:szCs w:val="18"/>
              </w:rPr>
              <w:t>SGDB</w:t>
            </w:r>
          </w:p>
        </w:tc>
        <w:tc>
          <w:tcPr>
            <w:tcW w:w="2643" w:type="dxa"/>
            <w:tcBorders>
              <w:right w:val="single" w:sz="4" w:space="0" w:color="auto"/>
            </w:tcBorders>
            <w:vAlign w:val="center"/>
          </w:tcPr>
          <w:p w:rsidR="006D5534" w:rsidRPr="006D5534" w:rsidRDefault="006D5534" w:rsidP="006D55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6D5534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proofErr w:type="gramEnd"/>
            <w:r w:rsidRPr="006D5534">
              <w:rPr>
                <w:rFonts w:ascii="Arial" w:eastAsia="Times New Roman" w:hAnsi="Arial" w:cs="Arial"/>
                <w:sz w:val="18"/>
                <w:szCs w:val="18"/>
              </w:rPr>
              <w:t>-posta</w:t>
            </w:r>
          </w:p>
          <w:p w:rsidR="0031681E" w:rsidRPr="0031681E" w:rsidRDefault="006D5534" w:rsidP="006D55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5534">
              <w:rPr>
                <w:rFonts w:ascii="Arial" w:eastAsia="Times New Roman" w:hAnsi="Arial" w:cs="Arial"/>
                <w:sz w:val="18"/>
                <w:szCs w:val="18"/>
              </w:rPr>
              <w:t>Afiş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1E" w:rsidRPr="005C1F37" w:rsidRDefault="0031681E" w:rsidP="003168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1F37">
              <w:rPr>
                <w:rFonts w:ascii="Arial" w:eastAsia="Times New Roman" w:hAnsi="Arial" w:cs="Arial"/>
                <w:sz w:val="18"/>
                <w:szCs w:val="18"/>
              </w:rPr>
              <w:t>Ocak 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31681E" w:rsidRDefault="006D5534" w:rsidP="003168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Aralık</w:t>
            </w:r>
            <w:r w:rsidR="0031681E">
              <w:rPr>
                <w:rFonts w:ascii="Arial" w:eastAsia="Times New Roman" w:hAnsi="Arial" w:cs="Arial"/>
                <w:sz w:val="18"/>
                <w:szCs w:val="18"/>
              </w:rPr>
              <w:t xml:space="preserve"> 2021</w:t>
            </w:r>
          </w:p>
        </w:tc>
      </w:tr>
      <w:tr w:rsidR="0031681E" w:rsidTr="00903B8E">
        <w:trPr>
          <w:trHeight w:val="843"/>
        </w:trPr>
        <w:tc>
          <w:tcPr>
            <w:tcW w:w="1242" w:type="dxa"/>
            <w:vAlign w:val="center"/>
          </w:tcPr>
          <w:p w:rsidR="0031681E" w:rsidRPr="0031681E" w:rsidRDefault="006D5534" w:rsidP="006D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 1.3/1</w:t>
            </w:r>
          </w:p>
        </w:tc>
        <w:tc>
          <w:tcPr>
            <w:tcW w:w="3912" w:type="dxa"/>
            <w:vAlign w:val="center"/>
          </w:tcPr>
          <w:p w:rsidR="0031681E" w:rsidRPr="0031681E" w:rsidRDefault="006D5534" w:rsidP="00220EB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D5534">
              <w:rPr>
                <w:rFonts w:ascii="Arial" w:eastAsia="Times New Roman" w:hAnsi="Arial" w:cs="Arial"/>
                <w:sz w:val="18"/>
                <w:szCs w:val="18"/>
              </w:rPr>
              <w:t>TKGM Merkez ve Taşra Birimlerinde belirlenecek personele etik eğitimlerinin verilmesi</w:t>
            </w:r>
          </w:p>
        </w:tc>
        <w:tc>
          <w:tcPr>
            <w:tcW w:w="2501" w:type="dxa"/>
            <w:tcBorders>
              <w:right w:val="single" w:sz="4" w:space="0" w:color="auto"/>
            </w:tcBorders>
            <w:vAlign w:val="center"/>
          </w:tcPr>
          <w:p w:rsidR="0031681E" w:rsidRPr="0031681E" w:rsidRDefault="006D5534" w:rsidP="003168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5534">
              <w:rPr>
                <w:rFonts w:ascii="Arial" w:eastAsia="Times New Roman" w:hAnsi="Arial" w:cs="Arial"/>
                <w:sz w:val="18"/>
                <w:szCs w:val="18"/>
              </w:rPr>
              <w:t>PDB</w:t>
            </w:r>
          </w:p>
        </w:tc>
        <w:tc>
          <w:tcPr>
            <w:tcW w:w="2643" w:type="dxa"/>
            <w:tcBorders>
              <w:right w:val="single" w:sz="4" w:space="0" w:color="auto"/>
            </w:tcBorders>
            <w:vAlign w:val="center"/>
          </w:tcPr>
          <w:p w:rsidR="0031681E" w:rsidRPr="0031681E" w:rsidRDefault="006D5534" w:rsidP="003168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5534">
              <w:rPr>
                <w:rFonts w:ascii="Arial" w:eastAsia="Times New Roman" w:hAnsi="Arial" w:cs="Arial"/>
                <w:sz w:val="18"/>
                <w:szCs w:val="18"/>
              </w:rPr>
              <w:t>Etik Eğitimi Katılımcı Listesi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1E" w:rsidRPr="005C1F37" w:rsidRDefault="0031681E" w:rsidP="003168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1F37">
              <w:rPr>
                <w:rFonts w:ascii="Arial" w:eastAsia="Times New Roman" w:hAnsi="Arial" w:cs="Arial"/>
                <w:sz w:val="18"/>
                <w:szCs w:val="18"/>
              </w:rPr>
              <w:t>Ocak 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31681E" w:rsidRDefault="006D5534" w:rsidP="003168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Aralık</w:t>
            </w:r>
            <w:r w:rsidR="0031681E">
              <w:rPr>
                <w:rFonts w:ascii="Arial" w:eastAsia="Times New Roman" w:hAnsi="Arial" w:cs="Arial"/>
                <w:sz w:val="18"/>
                <w:szCs w:val="18"/>
              </w:rPr>
              <w:t xml:space="preserve"> 2021</w:t>
            </w:r>
          </w:p>
        </w:tc>
      </w:tr>
      <w:tr w:rsidR="00266470" w:rsidTr="00903B8E">
        <w:trPr>
          <w:trHeight w:val="843"/>
        </w:trPr>
        <w:tc>
          <w:tcPr>
            <w:tcW w:w="1242" w:type="dxa"/>
            <w:vAlign w:val="center"/>
          </w:tcPr>
          <w:p w:rsidR="00266470" w:rsidRPr="00220EBA" w:rsidRDefault="008D6C29" w:rsidP="00C054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C29">
              <w:rPr>
                <w:rFonts w:ascii="Arial" w:hAnsi="Arial" w:cs="Arial"/>
                <w:sz w:val="16"/>
                <w:szCs w:val="16"/>
              </w:rPr>
              <w:t>KOS 2.1/1</w:t>
            </w:r>
          </w:p>
        </w:tc>
        <w:tc>
          <w:tcPr>
            <w:tcW w:w="3912" w:type="dxa"/>
            <w:vAlign w:val="center"/>
          </w:tcPr>
          <w:p w:rsidR="00266470" w:rsidRPr="00266470" w:rsidRDefault="008D6C29" w:rsidP="00220EB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D6C29">
              <w:rPr>
                <w:rFonts w:ascii="Arial" w:eastAsia="Times New Roman" w:hAnsi="Arial" w:cs="Arial"/>
                <w:sz w:val="18"/>
                <w:szCs w:val="18"/>
              </w:rPr>
              <w:t>Genel Müdürlükte domaine bağlı bilgisayarlardan Personele Misyon, Vizyon ve Temel Değerlerimizin duyurulması</w:t>
            </w:r>
          </w:p>
        </w:tc>
        <w:tc>
          <w:tcPr>
            <w:tcW w:w="2501" w:type="dxa"/>
            <w:tcBorders>
              <w:right w:val="single" w:sz="4" w:space="0" w:color="auto"/>
            </w:tcBorders>
            <w:vAlign w:val="center"/>
          </w:tcPr>
          <w:p w:rsidR="00266470" w:rsidRPr="00266470" w:rsidRDefault="008D6C29" w:rsidP="003168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6C29">
              <w:rPr>
                <w:rFonts w:ascii="Arial" w:eastAsia="Times New Roman" w:hAnsi="Arial" w:cs="Arial"/>
                <w:sz w:val="18"/>
                <w:szCs w:val="18"/>
              </w:rPr>
              <w:t>SGDB</w:t>
            </w:r>
          </w:p>
        </w:tc>
        <w:tc>
          <w:tcPr>
            <w:tcW w:w="2643" w:type="dxa"/>
            <w:tcBorders>
              <w:right w:val="single" w:sz="4" w:space="0" w:color="auto"/>
            </w:tcBorders>
            <w:vAlign w:val="center"/>
          </w:tcPr>
          <w:p w:rsidR="00266470" w:rsidRPr="00266470" w:rsidRDefault="008D6C29" w:rsidP="003168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6C29">
              <w:rPr>
                <w:rFonts w:ascii="Arial" w:eastAsia="Times New Roman" w:hAnsi="Arial" w:cs="Arial"/>
                <w:sz w:val="18"/>
                <w:szCs w:val="18"/>
              </w:rPr>
              <w:t>Duyuru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470" w:rsidRPr="00266470" w:rsidRDefault="008D6C29" w:rsidP="008D6C29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Temmuz</w:t>
            </w:r>
            <w:r w:rsidR="0031681E" w:rsidRPr="005C1F37">
              <w:rPr>
                <w:rFonts w:ascii="Arial" w:eastAsia="Times New Roman" w:hAnsi="Arial" w:cs="Arial"/>
                <w:sz w:val="18"/>
                <w:szCs w:val="18"/>
              </w:rPr>
              <w:t xml:space="preserve"> 20</w:t>
            </w:r>
            <w:r w:rsidR="0031681E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266470" w:rsidRPr="00266470" w:rsidRDefault="008D6C29" w:rsidP="003168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Aralık 2021</w:t>
            </w:r>
          </w:p>
        </w:tc>
      </w:tr>
      <w:tr w:rsidR="005C1F37" w:rsidRPr="005A5412" w:rsidTr="00903B8E">
        <w:trPr>
          <w:trHeight w:val="839"/>
        </w:trPr>
        <w:tc>
          <w:tcPr>
            <w:tcW w:w="1242" w:type="dxa"/>
            <w:shd w:val="clear" w:color="auto" w:fill="FFFFFF" w:themeFill="background1"/>
            <w:vAlign w:val="center"/>
          </w:tcPr>
          <w:p w:rsidR="005C1F37" w:rsidRPr="005C1F37" w:rsidRDefault="008D6C29" w:rsidP="00C0540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6C29">
              <w:rPr>
                <w:rFonts w:ascii="Arial" w:eastAsia="Times New Roman" w:hAnsi="Arial" w:cs="Arial"/>
                <w:sz w:val="18"/>
                <w:szCs w:val="18"/>
              </w:rPr>
              <w:t>RDS 6.2/1</w:t>
            </w:r>
          </w:p>
        </w:tc>
        <w:tc>
          <w:tcPr>
            <w:tcW w:w="3912" w:type="dxa"/>
            <w:shd w:val="clear" w:color="auto" w:fill="FFFFFF" w:themeFill="background1"/>
            <w:vAlign w:val="center"/>
          </w:tcPr>
          <w:p w:rsidR="005C1F37" w:rsidRPr="005C1F37" w:rsidRDefault="008D6C29" w:rsidP="0031681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D6C29">
              <w:rPr>
                <w:rFonts w:ascii="Arial" w:eastAsia="Times New Roman" w:hAnsi="Arial" w:cs="Arial"/>
                <w:sz w:val="18"/>
                <w:szCs w:val="18"/>
              </w:rPr>
              <w:t>Risk Strateji Belgesi çerçevesinde görevlere ilişkin belirlenen risklerin en az yılda bir kez gözden geçirilmesi</w:t>
            </w:r>
          </w:p>
        </w:tc>
        <w:tc>
          <w:tcPr>
            <w:tcW w:w="25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6C29" w:rsidRPr="008D6C29" w:rsidRDefault="008D6C29" w:rsidP="008D6C2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6C29">
              <w:rPr>
                <w:rFonts w:ascii="Arial" w:eastAsia="Times New Roman" w:hAnsi="Arial" w:cs="Arial"/>
                <w:sz w:val="18"/>
                <w:szCs w:val="18"/>
              </w:rPr>
              <w:t>Merkez Birimler</w:t>
            </w:r>
          </w:p>
          <w:p w:rsidR="008D6C29" w:rsidRPr="008D6C29" w:rsidRDefault="008D6C29" w:rsidP="008D6C2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6C29">
              <w:rPr>
                <w:rFonts w:ascii="Arial" w:eastAsia="Times New Roman" w:hAnsi="Arial" w:cs="Arial"/>
                <w:sz w:val="18"/>
                <w:szCs w:val="18"/>
              </w:rPr>
              <w:t>+</w:t>
            </w:r>
          </w:p>
          <w:p w:rsidR="005C1F37" w:rsidRPr="005C1F37" w:rsidRDefault="00302737" w:rsidP="00296A3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Tapu ve </w:t>
            </w:r>
            <w:r w:rsidR="00296A3F">
              <w:rPr>
                <w:rFonts w:ascii="Arial" w:eastAsia="Times New Roman" w:hAnsi="Arial" w:cs="Arial"/>
                <w:sz w:val="18"/>
                <w:szCs w:val="18"/>
              </w:rPr>
              <w:t>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adastro I.(Ankara) Bölge Müdürlüğü</w:t>
            </w:r>
          </w:p>
        </w:tc>
        <w:tc>
          <w:tcPr>
            <w:tcW w:w="26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6C29" w:rsidRPr="008D6C29" w:rsidRDefault="008D6C29" w:rsidP="008D6C2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6C29">
              <w:rPr>
                <w:rFonts w:ascii="Arial" w:eastAsia="Times New Roman" w:hAnsi="Arial" w:cs="Arial"/>
                <w:sz w:val="18"/>
                <w:szCs w:val="18"/>
              </w:rPr>
              <w:t>Risk Oylama Formları,</w:t>
            </w:r>
          </w:p>
          <w:p w:rsidR="008D6C29" w:rsidRPr="008D6C29" w:rsidRDefault="008D6C29" w:rsidP="008D6C2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6C29">
              <w:rPr>
                <w:rFonts w:ascii="Arial" w:eastAsia="Times New Roman" w:hAnsi="Arial" w:cs="Arial"/>
                <w:sz w:val="18"/>
                <w:szCs w:val="18"/>
              </w:rPr>
              <w:t>Risk Kayıt Formları,</w:t>
            </w:r>
          </w:p>
          <w:p w:rsidR="005C1F37" w:rsidRPr="005C1F37" w:rsidRDefault="008D6C29" w:rsidP="008D6C2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6C29">
              <w:rPr>
                <w:rFonts w:ascii="Arial" w:eastAsia="Times New Roman" w:hAnsi="Arial" w:cs="Arial"/>
                <w:sz w:val="18"/>
                <w:szCs w:val="18"/>
              </w:rPr>
              <w:t>Konsolide Risk Raporları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37" w:rsidRPr="00266470" w:rsidRDefault="008D6C29" w:rsidP="008D6C2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Temmuz</w:t>
            </w:r>
            <w:r w:rsidRPr="005C1F37">
              <w:rPr>
                <w:rFonts w:ascii="Arial" w:eastAsia="Times New Roman" w:hAnsi="Arial" w:cs="Arial"/>
                <w:sz w:val="18"/>
                <w:szCs w:val="18"/>
              </w:rPr>
              <w:t xml:space="preserve"> 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192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C1F37" w:rsidRPr="00266470" w:rsidRDefault="008D6C29" w:rsidP="003168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Aralık 2021</w:t>
            </w:r>
          </w:p>
        </w:tc>
      </w:tr>
      <w:tr w:rsidR="00903B8E" w:rsidRPr="005A5412" w:rsidTr="00903B8E">
        <w:trPr>
          <w:trHeight w:val="839"/>
        </w:trPr>
        <w:tc>
          <w:tcPr>
            <w:tcW w:w="1242" w:type="dxa"/>
            <w:shd w:val="clear" w:color="auto" w:fill="FFFFFF" w:themeFill="background1"/>
            <w:vAlign w:val="center"/>
          </w:tcPr>
          <w:p w:rsidR="00903B8E" w:rsidRPr="00903B8E" w:rsidRDefault="008D6C29" w:rsidP="00C0540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6C29">
              <w:rPr>
                <w:rFonts w:ascii="Arial" w:eastAsia="Times New Roman" w:hAnsi="Arial" w:cs="Arial"/>
                <w:sz w:val="18"/>
                <w:szCs w:val="18"/>
              </w:rPr>
              <w:t>KFS 12.1/1</w:t>
            </w:r>
          </w:p>
        </w:tc>
        <w:tc>
          <w:tcPr>
            <w:tcW w:w="3912" w:type="dxa"/>
            <w:shd w:val="clear" w:color="auto" w:fill="FFFFFF" w:themeFill="background1"/>
            <w:vAlign w:val="center"/>
          </w:tcPr>
          <w:p w:rsidR="00903B8E" w:rsidRPr="00903B8E" w:rsidRDefault="008D6C29" w:rsidP="0031681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D6C29">
              <w:rPr>
                <w:rFonts w:ascii="Arial" w:eastAsia="Times New Roman" w:hAnsi="Arial" w:cs="Arial"/>
                <w:sz w:val="18"/>
                <w:szCs w:val="18"/>
              </w:rPr>
              <w:t>Bilgi güvenliğini sağlamaya yönelik düzenli çalışan eğitimleri yürütülmesi</w:t>
            </w:r>
          </w:p>
        </w:tc>
        <w:tc>
          <w:tcPr>
            <w:tcW w:w="25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3B8E" w:rsidRPr="00903B8E" w:rsidRDefault="008D6C29" w:rsidP="00C0540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6C29">
              <w:rPr>
                <w:rFonts w:ascii="Arial" w:eastAsia="Times New Roman" w:hAnsi="Arial" w:cs="Arial"/>
                <w:sz w:val="18"/>
                <w:szCs w:val="18"/>
              </w:rPr>
              <w:t>BTDB</w:t>
            </w:r>
          </w:p>
        </w:tc>
        <w:tc>
          <w:tcPr>
            <w:tcW w:w="26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3B8E" w:rsidRPr="00903B8E" w:rsidRDefault="008D6C29" w:rsidP="00903B8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6C29">
              <w:rPr>
                <w:rFonts w:ascii="Arial" w:eastAsia="Times New Roman" w:hAnsi="Arial" w:cs="Arial"/>
                <w:sz w:val="18"/>
                <w:szCs w:val="18"/>
              </w:rPr>
              <w:t>Katılımcı Listesi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3B8E" w:rsidRPr="00266470" w:rsidRDefault="008D6C29" w:rsidP="008D6C2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1F37">
              <w:rPr>
                <w:rFonts w:ascii="Arial" w:eastAsia="Times New Roman" w:hAnsi="Arial" w:cs="Arial"/>
                <w:sz w:val="18"/>
                <w:szCs w:val="18"/>
              </w:rPr>
              <w:t>Ocak 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192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03B8E" w:rsidRPr="00266470" w:rsidRDefault="008D6C29" w:rsidP="00C0540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Aralık 2021</w:t>
            </w:r>
          </w:p>
        </w:tc>
      </w:tr>
      <w:tr w:rsidR="00903B8E" w:rsidRPr="005A5412" w:rsidTr="00903B8E">
        <w:trPr>
          <w:trHeight w:val="839"/>
        </w:trPr>
        <w:tc>
          <w:tcPr>
            <w:tcW w:w="1242" w:type="dxa"/>
            <w:shd w:val="clear" w:color="auto" w:fill="FFFFFF" w:themeFill="background1"/>
            <w:vAlign w:val="center"/>
          </w:tcPr>
          <w:p w:rsidR="00903B8E" w:rsidRPr="00903B8E" w:rsidRDefault="008D6C29" w:rsidP="00C0540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6C29">
              <w:rPr>
                <w:rFonts w:ascii="Arial" w:eastAsia="Times New Roman" w:hAnsi="Arial" w:cs="Arial"/>
                <w:sz w:val="18"/>
                <w:szCs w:val="18"/>
              </w:rPr>
              <w:t>KFS 12.1/2</w:t>
            </w:r>
          </w:p>
        </w:tc>
        <w:tc>
          <w:tcPr>
            <w:tcW w:w="3912" w:type="dxa"/>
            <w:shd w:val="clear" w:color="auto" w:fill="FFFFFF" w:themeFill="background1"/>
            <w:vAlign w:val="center"/>
          </w:tcPr>
          <w:p w:rsidR="00903B8E" w:rsidRPr="00903B8E" w:rsidRDefault="008D6C29" w:rsidP="00903B8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D6C29">
              <w:rPr>
                <w:rFonts w:ascii="Arial" w:eastAsia="Times New Roman" w:hAnsi="Arial" w:cs="Arial"/>
                <w:sz w:val="18"/>
                <w:szCs w:val="18"/>
              </w:rPr>
              <w:t>Kurumda kullanılan bilgi sistemlerinin güvenilir ve sürdürebilirliğine ilişkin periyodik kontroller (</w:t>
            </w:r>
            <w:proofErr w:type="spellStart"/>
            <w:r w:rsidRPr="008D6C29">
              <w:rPr>
                <w:rFonts w:ascii="Arial" w:eastAsia="Times New Roman" w:hAnsi="Arial" w:cs="Arial"/>
                <w:sz w:val="18"/>
                <w:szCs w:val="18"/>
              </w:rPr>
              <w:t>stress</w:t>
            </w:r>
            <w:proofErr w:type="spellEnd"/>
            <w:r w:rsidRPr="008D6C29">
              <w:rPr>
                <w:rFonts w:ascii="Arial" w:eastAsia="Times New Roman" w:hAnsi="Arial" w:cs="Arial"/>
                <w:sz w:val="18"/>
                <w:szCs w:val="18"/>
              </w:rPr>
              <w:t xml:space="preserve"> ve sürdürülebilirlik testleri vb.) belirlenmesi ve yürütülmesi</w:t>
            </w:r>
          </w:p>
        </w:tc>
        <w:tc>
          <w:tcPr>
            <w:tcW w:w="25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3B8E" w:rsidRPr="00903B8E" w:rsidRDefault="008D6C29" w:rsidP="00C0540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6C29">
              <w:rPr>
                <w:rFonts w:ascii="Arial" w:eastAsia="Times New Roman" w:hAnsi="Arial" w:cs="Arial"/>
                <w:sz w:val="18"/>
                <w:szCs w:val="18"/>
              </w:rPr>
              <w:t>BTDB</w:t>
            </w:r>
          </w:p>
        </w:tc>
        <w:tc>
          <w:tcPr>
            <w:tcW w:w="26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3B8E" w:rsidRPr="00903B8E" w:rsidRDefault="008D6C29" w:rsidP="00903B8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6C29">
              <w:rPr>
                <w:rFonts w:ascii="Arial" w:eastAsia="Times New Roman" w:hAnsi="Arial" w:cs="Arial"/>
                <w:sz w:val="18"/>
                <w:szCs w:val="18"/>
              </w:rPr>
              <w:t>Rapor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3B8E" w:rsidRPr="00266470" w:rsidRDefault="008D6C29" w:rsidP="008D6C2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1F37">
              <w:rPr>
                <w:rFonts w:ascii="Arial" w:eastAsia="Times New Roman" w:hAnsi="Arial" w:cs="Arial"/>
                <w:sz w:val="18"/>
                <w:szCs w:val="18"/>
              </w:rPr>
              <w:t>Ocak 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192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03B8E" w:rsidRPr="00266470" w:rsidRDefault="008D6C29" w:rsidP="00C0540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Aralık 2021</w:t>
            </w:r>
          </w:p>
        </w:tc>
      </w:tr>
      <w:tr w:rsidR="008D6C29" w:rsidRPr="005A5412" w:rsidTr="00903B8E">
        <w:trPr>
          <w:trHeight w:val="839"/>
        </w:trPr>
        <w:tc>
          <w:tcPr>
            <w:tcW w:w="1242" w:type="dxa"/>
            <w:shd w:val="clear" w:color="auto" w:fill="FFFFFF" w:themeFill="background1"/>
            <w:vAlign w:val="center"/>
          </w:tcPr>
          <w:p w:rsidR="008D6C29" w:rsidRPr="008D6C29" w:rsidRDefault="008D6C2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6C29">
              <w:rPr>
                <w:rFonts w:ascii="Arial" w:eastAsia="Times New Roman" w:hAnsi="Arial" w:cs="Arial"/>
                <w:sz w:val="18"/>
                <w:szCs w:val="18"/>
              </w:rPr>
              <w:t>KFS 12.1/3</w:t>
            </w:r>
          </w:p>
        </w:tc>
        <w:tc>
          <w:tcPr>
            <w:tcW w:w="3912" w:type="dxa"/>
            <w:shd w:val="clear" w:color="auto" w:fill="FFFFFF" w:themeFill="background1"/>
            <w:vAlign w:val="center"/>
          </w:tcPr>
          <w:p w:rsidR="008D6C29" w:rsidRPr="008D6C29" w:rsidRDefault="008D6C2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D6C29">
              <w:rPr>
                <w:rFonts w:ascii="Arial" w:eastAsia="Times New Roman" w:hAnsi="Arial" w:cs="Arial"/>
                <w:sz w:val="18"/>
                <w:szCs w:val="18"/>
              </w:rPr>
              <w:t>Bilgi güvenliğine ilişkin risk analizlerinin yapılması, risklerin işlenmesi, iyileştirme çalışmaları ve işletilmesi</w:t>
            </w:r>
          </w:p>
        </w:tc>
        <w:tc>
          <w:tcPr>
            <w:tcW w:w="25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6C29" w:rsidRPr="008D6C29" w:rsidRDefault="008D6C2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6C29">
              <w:rPr>
                <w:rFonts w:ascii="Arial" w:eastAsia="Times New Roman" w:hAnsi="Arial" w:cs="Arial"/>
                <w:sz w:val="18"/>
                <w:szCs w:val="18"/>
              </w:rPr>
              <w:t>BTDB</w:t>
            </w:r>
          </w:p>
        </w:tc>
        <w:tc>
          <w:tcPr>
            <w:tcW w:w="26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6C29" w:rsidRPr="008D6C29" w:rsidRDefault="008D6C29" w:rsidP="008D6C2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6C29">
              <w:rPr>
                <w:rFonts w:ascii="Arial" w:eastAsia="Times New Roman" w:hAnsi="Arial" w:cs="Arial"/>
                <w:sz w:val="18"/>
                <w:szCs w:val="18"/>
              </w:rPr>
              <w:t>Risk analizleri,</w:t>
            </w:r>
          </w:p>
          <w:p w:rsidR="008D6C29" w:rsidRPr="008D6C29" w:rsidRDefault="008D6C29" w:rsidP="008D6C2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6C29">
              <w:rPr>
                <w:rFonts w:ascii="Arial" w:eastAsia="Times New Roman" w:hAnsi="Arial" w:cs="Arial"/>
                <w:sz w:val="18"/>
                <w:szCs w:val="18"/>
              </w:rPr>
              <w:t xml:space="preserve"> Kontrol raporları</w:t>
            </w:r>
          </w:p>
          <w:p w:rsidR="008D6C29" w:rsidRPr="00903B8E" w:rsidRDefault="008D6C29" w:rsidP="00903B8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6C29" w:rsidRPr="00266470" w:rsidRDefault="008D6C29" w:rsidP="008D6C2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1F37">
              <w:rPr>
                <w:rFonts w:ascii="Arial" w:eastAsia="Times New Roman" w:hAnsi="Arial" w:cs="Arial"/>
                <w:sz w:val="18"/>
                <w:szCs w:val="18"/>
              </w:rPr>
              <w:t>Ocak 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192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D6C29" w:rsidRDefault="008D6C29" w:rsidP="00C0540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Aralık 2021</w:t>
            </w:r>
          </w:p>
        </w:tc>
      </w:tr>
      <w:tr w:rsidR="008D6C29" w:rsidRPr="005A5412" w:rsidTr="00903B8E">
        <w:trPr>
          <w:trHeight w:val="839"/>
        </w:trPr>
        <w:tc>
          <w:tcPr>
            <w:tcW w:w="1242" w:type="dxa"/>
            <w:shd w:val="clear" w:color="auto" w:fill="FFFFFF" w:themeFill="background1"/>
            <w:vAlign w:val="center"/>
          </w:tcPr>
          <w:p w:rsidR="008D6C29" w:rsidRPr="008D6C29" w:rsidRDefault="008D6C2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6C29">
              <w:rPr>
                <w:rFonts w:ascii="Arial" w:eastAsia="Times New Roman" w:hAnsi="Arial" w:cs="Arial"/>
                <w:sz w:val="18"/>
                <w:szCs w:val="18"/>
              </w:rPr>
              <w:t>KFS 12.1/4</w:t>
            </w:r>
          </w:p>
        </w:tc>
        <w:tc>
          <w:tcPr>
            <w:tcW w:w="3912" w:type="dxa"/>
            <w:shd w:val="clear" w:color="auto" w:fill="FFFFFF" w:themeFill="background1"/>
            <w:vAlign w:val="center"/>
          </w:tcPr>
          <w:p w:rsidR="008D6C29" w:rsidRPr="008D6C29" w:rsidRDefault="008D6C2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D6C29">
              <w:rPr>
                <w:rFonts w:ascii="Arial" w:eastAsia="Times New Roman" w:hAnsi="Arial" w:cs="Arial"/>
                <w:sz w:val="18"/>
                <w:szCs w:val="18"/>
              </w:rPr>
              <w:t>Bilgi güvenliği sisteminin etkinliğinin, ihtiyaç - sorun ortaya çıktıkça ölçülüp iyileştirilmesi yerine, periyodik olarak ölçülmesi ve iyileştirmesine yönelik çalışmaların yapılması</w:t>
            </w:r>
          </w:p>
        </w:tc>
        <w:tc>
          <w:tcPr>
            <w:tcW w:w="25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6C29" w:rsidRPr="008D6C29" w:rsidRDefault="008D6C2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6C29">
              <w:rPr>
                <w:rFonts w:ascii="Arial" w:eastAsia="Times New Roman" w:hAnsi="Arial" w:cs="Arial"/>
                <w:sz w:val="18"/>
                <w:szCs w:val="18"/>
              </w:rPr>
              <w:t>BTDB</w:t>
            </w:r>
          </w:p>
        </w:tc>
        <w:tc>
          <w:tcPr>
            <w:tcW w:w="26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6C29" w:rsidRPr="008D6C29" w:rsidRDefault="008D6C29" w:rsidP="008D6C2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6C29">
              <w:rPr>
                <w:rFonts w:ascii="Arial" w:eastAsia="Times New Roman" w:hAnsi="Arial" w:cs="Arial"/>
                <w:sz w:val="18"/>
                <w:szCs w:val="18"/>
              </w:rPr>
              <w:t>Periyodik bilgi güvenliği ölçümleri raporu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6C29" w:rsidRPr="00266470" w:rsidRDefault="008D6C29" w:rsidP="008D6C2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1F37">
              <w:rPr>
                <w:rFonts w:ascii="Arial" w:eastAsia="Times New Roman" w:hAnsi="Arial" w:cs="Arial"/>
                <w:sz w:val="18"/>
                <w:szCs w:val="18"/>
              </w:rPr>
              <w:t>Ocak 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192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D6C29" w:rsidRDefault="008D6C29" w:rsidP="00C0540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Aralık 2021</w:t>
            </w:r>
          </w:p>
        </w:tc>
      </w:tr>
      <w:tr w:rsidR="008D6C29" w:rsidRPr="005A5412" w:rsidTr="00903B8E">
        <w:trPr>
          <w:trHeight w:val="839"/>
        </w:trPr>
        <w:tc>
          <w:tcPr>
            <w:tcW w:w="1242" w:type="dxa"/>
            <w:shd w:val="clear" w:color="auto" w:fill="FFFFFF" w:themeFill="background1"/>
            <w:vAlign w:val="center"/>
          </w:tcPr>
          <w:p w:rsidR="008D6C29" w:rsidRPr="008D6C29" w:rsidRDefault="008D6C29" w:rsidP="008D6C2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6C2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BİS 13.7/1</w:t>
            </w:r>
          </w:p>
        </w:tc>
        <w:tc>
          <w:tcPr>
            <w:tcW w:w="3912" w:type="dxa"/>
            <w:shd w:val="clear" w:color="auto" w:fill="FFFFFF" w:themeFill="background1"/>
            <w:vAlign w:val="center"/>
          </w:tcPr>
          <w:p w:rsidR="008D6C29" w:rsidRPr="008D6C29" w:rsidRDefault="008D6C29" w:rsidP="008D6C2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D6C29">
              <w:rPr>
                <w:rFonts w:ascii="Arial" w:eastAsia="Times New Roman" w:hAnsi="Arial" w:cs="Arial"/>
                <w:sz w:val="18"/>
                <w:szCs w:val="18"/>
              </w:rPr>
              <w:t xml:space="preserve">Yatay ve dikey iç iletişimi arttırmak </w:t>
            </w:r>
            <w:proofErr w:type="gramStart"/>
            <w:r w:rsidRPr="008D6C29">
              <w:rPr>
                <w:rFonts w:ascii="Arial" w:eastAsia="Times New Roman" w:hAnsi="Arial" w:cs="Arial"/>
                <w:sz w:val="18"/>
                <w:szCs w:val="18"/>
              </w:rPr>
              <w:t>için  Daire</w:t>
            </w:r>
            <w:proofErr w:type="gramEnd"/>
            <w:r w:rsidRPr="008D6C29">
              <w:rPr>
                <w:rFonts w:ascii="Arial" w:eastAsia="Times New Roman" w:hAnsi="Arial" w:cs="Arial"/>
                <w:sz w:val="18"/>
                <w:szCs w:val="18"/>
              </w:rPr>
              <w:t xml:space="preserve"> Başkanlıkları, Bölge Müdürlükleri, Tapu Müdürlükleri ve Kadastro Müdürlükleri tarafından en az  yılda bir kez olmak üzere tüm birim personelin katılımıyla genel değerlendirme toplantılarının yapılması</w:t>
            </w:r>
          </w:p>
        </w:tc>
        <w:tc>
          <w:tcPr>
            <w:tcW w:w="25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6C29" w:rsidRPr="008D6C29" w:rsidRDefault="008D6C29" w:rsidP="008D6C2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6C29">
              <w:rPr>
                <w:rFonts w:ascii="Arial" w:eastAsia="Times New Roman" w:hAnsi="Arial" w:cs="Arial"/>
                <w:sz w:val="18"/>
                <w:szCs w:val="18"/>
              </w:rPr>
              <w:t>Merkez Birimler</w:t>
            </w:r>
            <w:r w:rsidRPr="008D6C29">
              <w:rPr>
                <w:rFonts w:ascii="Arial" w:eastAsia="Times New Roman" w:hAnsi="Arial" w:cs="Arial"/>
                <w:sz w:val="18"/>
                <w:szCs w:val="18"/>
              </w:rPr>
              <w:br/>
              <w:t>+</w:t>
            </w:r>
            <w:r w:rsidRPr="008D6C29">
              <w:rPr>
                <w:rFonts w:ascii="Arial" w:eastAsia="Times New Roman" w:hAnsi="Arial" w:cs="Arial"/>
                <w:sz w:val="18"/>
                <w:szCs w:val="18"/>
              </w:rPr>
              <w:br/>
              <w:t>Bölge Müdürlükleri</w:t>
            </w:r>
          </w:p>
        </w:tc>
        <w:tc>
          <w:tcPr>
            <w:tcW w:w="26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6C29" w:rsidRPr="008D6C29" w:rsidRDefault="008D6C29" w:rsidP="008D6C2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6C29">
              <w:rPr>
                <w:rFonts w:ascii="Arial" w:eastAsia="Times New Roman" w:hAnsi="Arial" w:cs="Arial"/>
                <w:sz w:val="18"/>
                <w:szCs w:val="18"/>
              </w:rPr>
              <w:t>Toplantı tutanağı ve katılım listesi</w:t>
            </w:r>
          </w:p>
          <w:p w:rsidR="008D6C29" w:rsidRPr="00903B8E" w:rsidRDefault="008D6C29" w:rsidP="008D6C2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6C29" w:rsidRPr="00266470" w:rsidRDefault="008D6C29" w:rsidP="008D6C2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1F37">
              <w:rPr>
                <w:rFonts w:ascii="Arial" w:eastAsia="Times New Roman" w:hAnsi="Arial" w:cs="Arial"/>
                <w:sz w:val="18"/>
                <w:szCs w:val="18"/>
              </w:rPr>
              <w:t>Ocak 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192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D6C29" w:rsidRDefault="008D6C29" w:rsidP="008D6C2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Aralık 2021</w:t>
            </w:r>
          </w:p>
        </w:tc>
      </w:tr>
      <w:tr w:rsidR="008D6C29" w:rsidRPr="005A5412" w:rsidTr="00903B8E">
        <w:trPr>
          <w:trHeight w:val="839"/>
        </w:trPr>
        <w:tc>
          <w:tcPr>
            <w:tcW w:w="1242" w:type="dxa"/>
            <w:shd w:val="clear" w:color="auto" w:fill="FFFFFF" w:themeFill="background1"/>
            <w:vAlign w:val="center"/>
          </w:tcPr>
          <w:p w:rsidR="008D6C29" w:rsidRPr="008D6C29" w:rsidRDefault="008D6C29" w:rsidP="008D6C2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6C29">
              <w:rPr>
                <w:rFonts w:ascii="Arial" w:eastAsia="Times New Roman" w:hAnsi="Arial" w:cs="Arial"/>
                <w:sz w:val="18"/>
                <w:szCs w:val="18"/>
              </w:rPr>
              <w:t>İS 17.1/1</w:t>
            </w:r>
          </w:p>
        </w:tc>
        <w:tc>
          <w:tcPr>
            <w:tcW w:w="3912" w:type="dxa"/>
            <w:shd w:val="clear" w:color="auto" w:fill="FFFFFF" w:themeFill="background1"/>
            <w:vAlign w:val="center"/>
          </w:tcPr>
          <w:p w:rsidR="008D6C29" w:rsidRPr="008D6C29" w:rsidRDefault="008D6C29" w:rsidP="008D6C2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D6C29">
              <w:rPr>
                <w:rFonts w:ascii="Arial" w:eastAsia="Times New Roman" w:hAnsi="Arial" w:cs="Arial"/>
                <w:sz w:val="18"/>
                <w:szCs w:val="18"/>
              </w:rPr>
              <w:t>İç Kontrol Eylem Planında öngörülen faaliyet ve düzenlemelerin gerçekleşme sonuçları izlenerek iç kontrol eylem planı değerlendirme raporunun hazırlanması</w:t>
            </w:r>
          </w:p>
        </w:tc>
        <w:tc>
          <w:tcPr>
            <w:tcW w:w="25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6C29" w:rsidRPr="008D6C29" w:rsidRDefault="008D6C29" w:rsidP="008D6C2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6C29">
              <w:rPr>
                <w:rFonts w:ascii="Arial" w:eastAsia="Times New Roman" w:hAnsi="Arial" w:cs="Arial"/>
                <w:sz w:val="18"/>
                <w:szCs w:val="18"/>
              </w:rPr>
              <w:t>SGDB</w:t>
            </w:r>
          </w:p>
        </w:tc>
        <w:tc>
          <w:tcPr>
            <w:tcW w:w="26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6C29" w:rsidRPr="008D6C29" w:rsidRDefault="008D6C29" w:rsidP="008D6C2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6C29">
              <w:rPr>
                <w:rFonts w:ascii="Arial" w:eastAsia="Times New Roman" w:hAnsi="Arial" w:cs="Arial"/>
                <w:sz w:val="18"/>
                <w:szCs w:val="18"/>
              </w:rPr>
              <w:t>Rapor</w:t>
            </w:r>
          </w:p>
          <w:p w:rsidR="008D6C29" w:rsidRPr="00903B8E" w:rsidRDefault="008D6C29" w:rsidP="008D6C2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6C29" w:rsidRPr="00266470" w:rsidRDefault="008D6C29" w:rsidP="008D6C2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Temmuz</w:t>
            </w:r>
            <w:r w:rsidRPr="005C1F37">
              <w:rPr>
                <w:rFonts w:ascii="Arial" w:eastAsia="Times New Roman" w:hAnsi="Arial" w:cs="Arial"/>
                <w:sz w:val="18"/>
                <w:szCs w:val="18"/>
              </w:rPr>
              <w:t xml:space="preserve"> 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192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D6C29" w:rsidRPr="00266470" w:rsidRDefault="008D6C29" w:rsidP="008D6C2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Aralık 2021</w:t>
            </w:r>
          </w:p>
        </w:tc>
      </w:tr>
      <w:tr w:rsidR="008D6C29" w:rsidRPr="005A5412" w:rsidTr="00903B8E">
        <w:trPr>
          <w:trHeight w:val="839"/>
        </w:trPr>
        <w:tc>
          <w:tcPr>
            <w:tcW w:w="1242" w:type="dxa"/>
            <w:shd w:val="clear" w:color="auto" w:fill="FFFFFF" w:themeFill="background1"/>
            <w:vAlign w:val="center"/>
          </w:tcPr>
          <w:p w:rsidR="008D6C29" w:rsidRPr="008D6C29" w:rsidRDefault="008D6C29" w:rsidP="008D6C2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6C29">
              <w:rPr>
                <w:rFonts w:ascii="Arial" w:eastAsia="Times New Roman" w:hAnsi="Arial" w:cs="Arial"/>
                <w:sz w:val="18"/>
                <w:szCs w:val="18"/>
              </w:rPr>
              <w:t>İS 17.2/1</w:t>
            </w:r>
          </w:p>
        </w:tc>
        <w:tc>
          <w:tcPr>
            <w:tcW w:w="3912" w:type="dxa"/>
            <w:shd w:val="clear" w:color="auto" w:fill="FFFFFF" w:themeFill="background1"/>
            <w:vAlign w:val="center"/>
          </w:tcPr>
          <w:p w:rsidR="008D6C29" w:rsidRPr="008D6C29" w:rsidRDefault="008D6C29" w:rsidP="008D6C2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D6C29">
              <w:rPr>
                <w:rFonts w:ascii="Arial" w:eastAsia="Times New Roman" w:hAnsi="Arial" w:cs="Arial"/>
                <w:sz w:val="18"/>
                <w:szCs w:val="18"/>
              </w:rPr>
              <w:t xml:space="preserve">İç kontrol hazırlama grubunun sürekliliğinin sağlanması ve 6 aylık </w:t>
            </w:r>
            <w:proofErr w:type="gramStart"/>
            <w:r w:rsidRPr="008D6C29">
              <w:rPr>
                <w:rFonts w:ascii="Arial" w:eastAsia="Times New Roman" w:hAnsi="Arial" w:cs="Arial"/>
                <w:sz w:val="18"/>
                <w:szCs w:val="18"/>
              </w:rPr>
              <w:t>periyotlarda</w:t>
            </w:r>
            <w:proofErr w:type="gramEnd"/>
            <w:r w:rsidRPr="008D6C29">
              <w:rPr>
                <w:rFonts w:ascii="Arial" w:eastAsia="Times New Roman" w:hAnsi="Arial" w:cs="Arial"/>
                <w:sz w:val="18"/>
                <w:szCs w:val="18"/>
              </w:rPr>
              <w:t xml:space="preserve"> değerlendirme toplantılarının gerçekleştirilmesi</w:t>
            </w:r>
          </w:p>
        </w:tc>
        <w:tc>
          <w:tcPr>
            <w:tcW w:w="25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6C29" w:rsidRPr="008D6C29" w:rsidRDefault="008D6C29" w:rsidP="008D6C2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6C29">
              <w:rPr>
                <w:rFonts w:ascii="Arial" w:eastAsia="Times New Roman" w:hAnsi="Arial" w:cs="Arial"/>
                <w:sz w:val="18"/>
                <w:szCs w:val="18"/>
              </w:rPr>
              <w:t>SGDB</w:t>
            </w:r>
          </w:p>
        </w:tc>
        <w:tc>
          <w:tcPr>
            <w:tcW w:w="26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6C29" w:rsidRPr="008D6C29" w:rsidRDefault="008D6C29" w:rsidP="008D6C2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6C29">
              <w:rPr>
                <w:rFonts w:ascii="Arial" w:eastAsia="Times New Roman" w:hAnsi="Arial" w:cs="Arial"/>
                <w:sz w:val="18"/>
                <w:szCs w:val="18"/>
              </w:rPr>
              <w:t>Toplantı tutanakları</w:t>
            </w:r>
          </w:p>
          <w:p w:rsidR="008D6C29" w:rsidRPr="00903B8E" w:rsidRDefault="008D6C29" w:rsidP="008D6C2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6C29" w:rsidRPr="00266470" w:rsidRDefault="008D6C29" w:rsidP="008D6C2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Temmuz</w:t>
            </w:r>
            <w:r w:rsidRPr="005C1F37">
              <w:rPr>
                <w:rFonts w:ascii="Arial" w:eastAsia="Times New Roman" w:hAnsi="Arial" w:cs="Arial"/>
                <w:sz w:val="18"/>
                <w:szCs w:val="18"/>
              </w:rPr>
              <w:t xml:space="preserve"> 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192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D6C29" w:rsidRPr="00266470" w:rsidRDefault="008D6C29" w:rsidP="008D6C2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Aralık 2021</w:t>
            </w:r>
          </w:p>
        </w:tc>
      </w:tr>
    </w:tbl>
    <w:p w:rsidR="005A5412" w:rsidRPr="002439EF" w:rsidRDefault="005A5412" w:rsidP="002439E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A5412" w:rsidRPr="002439EF" w:rsidSect="005A5412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91CB1"/>
    <w:multiLevelType w:val="hybridMultilevel"/>
    <w:tmpl w:val="EBFA9D58"/>
    <w:lvl w:ilvl="0" w:tplc="3D52D77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A6"/>
    <w:rsid w:val="00027B41"/>
    <w:rsid w:val="000D5BED"/>
    <w:rsid w:val="000F229D"/>
    <w:rsid w:val="001D0BF4"/>
    <w:rsid w:val="00220EBA"/>
    <w:rsid w:val="002439EF"/>
    <w:rsid w:val="00266470"/>
    <w:rsid w:val="00296A3F"/>
    <w:rsid w:val="002D2DBA"/>
    <w:rsid w:val="00302737"/>
    <w:rsid w:val="0031681E"/>
    <w:rsid w:val="00327BA0"/>
    <w:rsid w:val="00367A7C"/>
    <w:rsid w:val="003705C8"/>
    <w:rsid w:val="00377892"/>
    <w:rsid w:val="003B4EC3"/>
    <w:rsid w:val="00407499"/>
    <w:rsid w:val="004475F6"/>
    <w:rsid w:val="00450D13"/>
    <w:rsid w:val="00487B46"/>
    <w:rsid w:val="004C74CD"/>
    <w:rsid w:val="004D2E40"/>
    <w:rsid w:val="004F6673"/>
    <w:rsid w:val="0056215E"/>
    <w:rsid w:val="005A43F2"/>
    <w:rsid w:val="005A5412"/>
    <w:rsid w:val="005B4DAF"/>
    <w:rsid w:val="005C1F37"/>
    <w:rsid w:val="00657C7E"/>
    <w:rsid w:val="006D5534"/>
    <w:rsid w:val="00716FF9"/>
    <w:rsid w:val="00726D49"/>
    <w:rsid w:val="00850EA2"/>
    <w:rsid w:val="00896185"/>
    <w:rsid w:val="008B5486"/>
    <w:rsid w:val="008D6C29"/>
    <w:rsid w:val="008F2DE7"/>
    <w:rsid w:val="00903B8E"/>
    <w:rsid w:val="00904B2F"/>
    <w:rsid w:val="00A03EF3"/>
    <w:rsid w:val="00A05FC1"/>
    <w:rsid w:val="00AD547B"/>
    <w:rsid w:val="00B42FCB"/>
    <w:rsid w:val="00B52517"/>
    <w:rsid w:val="00B80CA6"/>
    <w:rsid w:val="00BF1F68"/>
    <w:rsid w:val="00BF7D2A"/>
    <w:rsid w:val="00C0540C"/>
    <w:rsid w:val="00C5509B"/>
    <w:rsid w:val="00C72F9B"/>
    <w:rsid w:val="00DF7EC7"/>
    <w:rsid w:val="00E23A86"/>
    <w:rsid w:val="00E84844"/>
    <w:rsid w:val="00ED3844"/>
    <w:rsid w:val="00F46ACE"/>
    <w:rsid w:val="00F926E9"/>
    <w:rsid w:val="00F9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926E9"/>
    <w:pPr>
      <w:ind w:left="720"/>
      <w:contextualSpacing/>
    </w:pPr>
  </w:style>
  <w:style w:type="table" w:styleId="TabloKlavuzu">
    <w:name w:val="Table Grid"/>
    <w:basedOn w:val="NormalTablo"/>
    <w:uiPriority w:val="59"/>
    <w:rsid w:val="005A54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926E9"/>
    <w:pPr>
      <w:ind w:left="720"/>
      <w:contextualSpacing/>
    </w:pPr>
  </w:style>
  <w:style w:type="table" w:styleId="TabloKlavuzu">
    <w:name w:val="Table Grid"/>
    <w:basedOn w:val="NormalTablo"/>
    <w:uiPriority w:val="59"/>
    <w:rsid w:val="005A54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tk44193</dc:creator>
  <cp:lastModifiedBy>tk42636</cp:lastModifiedBy>
  <cp:revision>2</cp:revision>
  <dcterms:created xsi:type="dcterms:W3CDTF">2022-01-17T10:58:00Z</dcterms:created>
  <dcterms:modified xsi:type="dcterms:W3CDTF">2022-01-17T10:58:00Z</dcterms:modified>
</cp:coreProperties>
</file>