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DC88F" w14:textId="77777777" w:rsidR="00400D56" w:rsidRDefault="00400D56" w:rsidP="00252526"/>
    <w:tbl>
      <w:tblPr>
        <w:tblpPr w:leftFromText="141" w:rightFromText="141" w:vertAnchor="text" w:tblpX="-282" w:tblpY="1"/>
        <w:tblOverlap w:val="never"/>
        <w:tblW w:w="10942" w:type="dxa"/>
        <w:tblBorders>
          <w:top w:val="double" w:sz="18" w:space="0" w:color="ED7D31" w:themeColor="accent2"/>
          <w:left w:val="double" w:sz="18" w:space="0" w:color="ED7D31" w:themeColor="accent2"/>
          <w:bottom w:val="double" w:sz="18" w:space="0" w:color="ED7D31" w:themeColor="accent2"/>
          <w:right w:val="double" w:sz="18" w:space="0" w:color="ED7D31" w:themeColor="accent2"/>
          <w:insideH w:val="double" w:sz="18" w:space="0" w:color="ED7D31" w:themeColor="accent2"/>
          <w:insideV w:val="double" w:sz="18" w:space="0" w:color="ED7D31" w:themeColor="accen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2"/>
      </w:tblGrid>
      <w:tr w:rsidR="003049C4" w:rsidRPr="003049C4" w14:paraId="25B9F38A" w14:textId="77777777" w:rsidTr="00B25BC1">
        <w:trPr>
          <w:trHeight w:val="15030"/>
        </w:trPr>
        <w:tc>
          <w:tcPr>
            <w:tcW w:w="10942" w:type="dxa"/>
            <w:vAlign w:val="center"/>
          </w:tcPr>
          <w:p w14:paraId="709EEDDA" w14:textId="5010A074" w:rsidR="00BE18A9" w:rsidRDefault="00B14FCD" w:rsidP="00B25BC1">
            <w:pPr>
              <w:tabs>
                <w:tab w:val="left" w:pos="210"/>
              </w:tabs>
              <w:spacing w:line="36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800" behindDoc="0" locked="0" layoutInCell="1" allowOverlap="1" wp14:anchorId="26CD84DD" wp14:editId="3647BFEA">
                  <wp:simplePos x="876300" y="1390650"/>
                  <wp:positionH relativeFrom="margin">
                    <wp:posOffset>170180</wp:posOffset>
                  </wp:positionH>
                  <wp:positionV relativeFrom="margin">
                    <wp:posOffset>214630</wp:posOffset>
                  </wp:positionV>
                  <wp:extent cx="942975" cy="419100"/>
                  <wp:effectExtent l="0" t="0" r="9525" b="0"/>
                  <wp:wrapSquare wrapText="bothSides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7728" behindDoc="0" locked="0" layoutInCell="1" allowOverlap="1" wp14:anchorId="32291876" wp14:editId="02F9A6A6">
                  <wp:simplePos x="5953125" y="419100"/>
                  <wp:positionH relativeFrom="margin">
                    <wp:posOffset>5571490</wp:posOffset>
                  </wp:positionH>
                  <wp:positionV relativeFrom="margin">
                    <wp:posOffset>52705</wp:posOffset>
                  </wp:positionV>
                  <wp:extent cx="1133475" cy="962025"/>
                  <wp:effectExtent l="0" t="0" r="9525" b="9525"/>
                  <wp:wrapSquare wrapText="bothSides"/>
                  <wp:docPr id="2" name="Resim 2" descr="Tapu ve Kadastro Yen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apu ve Kadastro Yen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206D">
              <w:rPr>
                <w:b/>
                <w:noProof/>
                <w:sz w:val="20"/>
              </w:rPr>
              <w:t xml:space="preserve">              </w:t>
            </w:r>
            <w:r>
              <w:rPr>
                <w:b/>
                <w:noProof/>
                <w:sz w:val="20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215BFA13" w14:textId="77777777" w:rsidR="00A23E13" w:rsidRDefault="00A23E13" w:rsidP="00B25BC1">
            <w:pPr>
              <w:tabs>
                <w:tab w:val="left" w:pos="210"/>
              </w:tabs>
              <w:spacing w:line="360" w:lineRule="auto"/>
              <w:rPr>
                <w:b/>
                <w:noProof/>
                <w:sz w:val="20"/>
              </w:rPr>
            </w:pPr>
          </w:p>
          <w:p w14:paraId="3E9275AE" w14:textId="77777777" w:rsidR="00B14FCD" w:rsidRDefault="00B14FCD" w:rsidP="00B25BC1">
            <w:pPr>
              <w:tabs>
                <w:tab w:val="left" w:pos="210"/>
              </w:tabs>
              <w:spacing w:line="360" w:lineRule="auto"/>
              <w:rPr>
                <w:b/>
                <w:noProof/>
                <w:sz w:val="20"/>
              </w:rPr>
            </w:pPr>
          </w:p>
          <w:p w14:paraId="1CD4C8E9" w14:textId="77777777" w:rsidR="001D74DA" w:rsidRDefault="001D74DA" w:rsidP="00B25BC1">
            <w:pPr>
              <w:tabs>
                <w:tab w:val="left" w:pos="210"/>
              </w:tabs>
              <w:spacing w:line="360" w:lineRule="auto"/>
              <w:rPr>
                <w:b/>
                <w:noProof/>
                <w:sz w:val="20"/>
              </w:rPr>
            </w:pPr>
          </w:p>
          <w:p w14:paraId="244EA12A" w14:textId="5789CE26" w:rsidR="00B14FCD" w:rsidRPr="00B14FCD" w:rsidRDefault="00BE18A9" w:rsidP="001D74DA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            </w:t>
            </w:r>
            <w:r w:rsidR="00B14FCD" w:rsidRPr="00B14FCD">
              <w:rPr>
                <w:rFonts w:ascii="Times New Roman" w:hAnsi="Times New Roman"/>
                <w:b/>
                <w:noProof/>
                <w:sz w:val="20"/>
              </w:rPr>
              <w:t xml:space="preserve">Yürürlülük Tarihi   : </w:t>
            </w:r>
            <w:r w:rsidR="00B37017">
              <w:rPr>
                <w:rFonts w:ascii="Times New Roman" w:hAnsi="Times New Roman"/>
                <w:b/>
                <w:noProof/>
                <w:sz w:val="20"/>
              </w:rPr>
              <w:t>10</w:t>
            </w:r>
            <w:r w:rsidR="00B14FCD" w:rsidRPr="00B14FCD">
              <w:rPr>
                <w:rFonts w:ascii="Times New Roman" w:hAnsi="Times New Roman"/>
                <w:b/>
                <w:noProof/>
                <w:sz w:val="20"/>
              </w:rPr>
              <w:t>/</w:t>
            </w:r>
            <w:r w:rsidR="00B37017">
              <w:rPr>
                <w:rFonts w:ascii="Times New Roman" w:hAnsi="Times New Roman"/>
                <w:b/>
                <w:noProof/>
                <w:sz w:val="20"/>
              </w:rPr>
              <w:t>02</w:t>
            </w:r>
            <w:bookmarkStart w:id="0" w:name="_GoBack"/>
            <w:bookmarkEnd w:id="0"/>
            <w:r w:rsidR="00B14FCD" w:rsidRPr="00B14FCD">
              <w:rPr>
                <w:rFonts w:ascii="Times New Roman" w:hAnsi="Times New Roman"/>
                <w:b/>
                <w:noProof/>
                <w:sz w:val="20"/>
              </w:rPr>
              <w:t>/ 2021</w:t>
            </w:r>
          </w:p>
          <w:p w14:paraId="2E0C2A13" w14:textId="54E0ACF1" w:rsidR="00B14FCD" w:rsidRDefault="00B14FCD" w:rsidP="001D74DA">
            <w:pPr>
              <w:tabs>
                <w:tab w:val="left" w:pos="210"/>
              </w:tabs>
              <w:spacing w:line="276" w:lineRule="auto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               Rev.No.Tarihi         </w:t>
            </w:r>
            <w:r w:rsidRPr="00B14FCD">
              <w:rPr>
                <w:rFonts w:ascii="Times New Roman" w:hAnsi="Times New Roman"/>
                <w:b/>
                <w:noProof/>
                <w:sz w:val="20"/>
              </w:rPr>
              <w:t xml:space="preserve">: </w:t>
            </w:r>
            <w:r w:rsidR="005E4540">
              <w:rPr>
                <w:rFonts w:ascii="Times New Roman" w:hAnsi="Times New Roman"/>
                <w:b/>
                <w:noProof/>
                <w:sz w:val="20"/>
              </w:rPr>
              <w:t>00 / .</w:t>
            </w:r>
            <w:r w:rsidRPr="00B14FCD">
              <w:rPr>
                <w:rFonts w:ascii="Times New Roman" w:hAnsi="Times New Roman"/>
                <w:b/>
                <w:noProof/>
                <w:sz w:val="20"/>
              </w:rPr>
              <w:t>…./</w:t>
            </w:r>
            <w:r w:rsidR="005E4540">
              <w:rPr>
                <w:rFonts w:ascii="Times New Roman" w:hAnsi="Times New Roman"/>
                <w:b/>
                <w:noProof/>
                <w:sz w:val="20"/>
              </w:rPr>
              <w:t>.</w:t>
            </w:r>
            <w:r w:rsidRPr="00B14FCD">
              <w:rPr>
                <w:rFonts w:ascii="Times New Roman" w:hAnsi="Times New Roman"/>
                <w:b/>
                <w:noProof/>
                <w:sz w:val="20"/>
              </w:rPr>
              <w:t>…/ 2021</w:t>
            </w:r>
          </w:p>
          <w:p w14:paraId="660908A9" w14:textId="3868E7DF" w:rsidR="00B14FCD" w:rsidRPr="00B14FCD" w:rsidRDefault="00B37017" w:rsidP="00B14FCD">
            <w:pPr>
              <w:tabs>
                <w:tab w:val="left" w:pos="210"/>
              </w:tabs>
              <w:spacing w:line="480" w:lineRule="auto"/>
              <w:rPr>
                <w:rFonts w:ascii="Times New Roman" w:hAnsi="Times New Roman"/>
                <w:b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pict w14:anchorId="706D8315">
                <v:rect id="_x0000_i1025" style="width:489.35pt;height:2.5pt" o:hrpct="906" o:hralign="center" o:hrstd="t" o:hr="t" fillcolor="#a0a0a0" stroked="f"/>
              </w:pict>
            </w:r>
          </w:p>
          <w:p w14:paraId="0242DA29" w14:textId="43AB7906" w:rsidR="00AB0614" w:rsidRPr="0050191D" w:rsidRDefault="00BE18A9" w:rsidP="00B25BC1">
            <w:pPr>
              <w:tabs>
                <w:tab w:val="left" w:pos="210"/>
              </w:tabs>
              <w:spacing w:line="360" w:lineRule="auto"/>
              <w:rPr>
                <w:rFonts w:ascii="Times New Roman" w:hAnsi="Times New Roman"/>
                <w:b/>
                <w:i/>
              </w:rPr>
            </w:pPr>
            <w:r>
              <w:rPr>
                <w:b/>
                <w:noProof/>
                <w:sz w:val="20"/>
              </w:rPr>
              <w:t xml:space="preserve"> </w:t>
            </w:r>
            <w:r w:rsidR="0033206D">
              <w:rPr>
                <w:b/>
                <w:noProof/>
                <w:sz w:val="20"/>
              </w:rPr>
              <w:t xml:space="preserve"> </w:t>
            </w:r>
            <w:r w:rsidR="00B14FCD">
              <w:rPr>
                <w:b/>
                <w:noProof/>
                <w:sz w:val="20"/>
              </w:rPr>
              <w:t xml:space="preserve">          </w:t>
            </w:r>
            <w:r w:rsidR="00DB600B" w:rsidRPr="0050191D">
              <w:rPr>
                <w:b/>
                <w:noProof/>
                <w:sz w:val="20"/>
              </w:rPr>
              <w:drawing>
                <wp:inline distT="0" distB="0" distL="0" distR="0" wp14:anchorId="098C1152" wp14:editId="33BDAF5E">
                  <wp:extent cx="6033135" cy="63369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109" cy="67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939E7" w14:textId="77777777" w:rsidR="00A23E13" w:rsidRDefault="00A23E13" w:rsidP="00AC03B7">
            <w:pPr>
              <w:tabs>
                <w:tab w:val="left" w:pos="210"/>
              </w:tabs>
              <w:rPr>
                <w:rFonts w:ascii="Monotype Corsiva" w:hAnsi="Monotype Corsiva"/>
                <w:b/>
                <w:i/>
                <w:color w:val="002060"/>
              </w:rPr>
            </w:pPr>
          </w:p>
          <w:p w14:paraId="4A4B20C0" w14:textId="77777777" w:rsidR="003049C4" w:rsidRDefault="003049C4" w:rsidP="00B25BC1">
            <w:pPr>
              <w:tabs>
                <w:tab w:val="left" w:pos="210"/>
              </w:tabs>
              <w:jc w:val="center"/>
              <w:rPr>
                <w:rFonts w:ascii="Monotype Corsiva" w:hAnsi="Monotype Corsiva"/>
                <w:b/>
                <w:color w:val="002060"/>
                <w:sz w:val="28"/>
                <w:szCs w:val="28"/>
              </w:rPr>
            </w:pPr>
            <w:r w:rsidRPr="00A23E13">
              <w:rPr>
                <w:rFonts w:ascii="Monotype Corsiva" w:hAnsi="Monotype Corsiva"/>
                <w:b/>
                <w:color w:val="002060"/>
                <w:sz w:val="28"/>
                <w:szCs w:val="28"/>
              </w:rPr>
              <w:t>İŞ SAĞLIĞI ve GÜVENLİĞİ POLİTİKASI</w:t>
            </w:r>
          </w:p>
          <w:p w14:paraId="6594D8B5" w14:textId="77777777" w:rsidR="00971DF8" w:rsidRPr="0050191D" w:rsidRDefault="00971DF8" w:rsidP="00A23E13">
            <w:pPr>
              <w:tabs>
                <w:tab w:val="left" w:pos="210"/>
              </w:tabs>
              <w:spacing w:line="276" w:lineRule="auto"/>
              <w:ind w:left="855" w:hanging="1419"/>
              <w:jc w:val="center"/>
              <w:rPr>
                <w:rFonts w:ascii="Monotype Corsiva" w:hAnsi="Monotype Corsiva"/>
                <w:b/>
                <w:i/>
                <w:color w:val="002060"/>
              </w:rPr>
            </w:pPr>
          </w:p>
          <w:p w14:paraId="2DFC16C9" w14:textId="0DE198CA" w:rsidR="003049C4" w:rsidRDefault="00044039" w:rsidP="00A23E13">
            <w:pPr>
              <w:tabs>
                <w:tab w:val="left" w:pos="426"/>
                <w:tab w:val="left" w:pos="7516"/>
              </w:tabs>
              <w:spacing w:line="276" w:lineRule="auto"/>
              <w:ind w:left="288" w:right="312" w:firstLine="567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Kurum</w:t>
            </w:r>
            <w:r w:rsidR="003049C4" w:rsidRPr="0050191D">
              <w:rPr>
                <w:rFonts w:ascii="Times New Roman" w:hAnsi="Times New Roman"/>
                <w:b/>
                <w:bCs/>
                <w:i/>
              </w:rPr>
              <w:t xml:space="preserve"> olarak uygulamakta olduğumuz “</w:t>
            </w:r>
            <w:r w:rsidR="00AD3FD6">
              <w:rPr>
                <w:rFonts w:ascii="Times New Roman" w:hAnsi="Times New Roman"/>
                <w:b/>
                <w:bCs/>
                <w:i/>
              </w:rPr>
              <w:t xml:space="preserve">TS </w:t>
            </w:r>
            <w:r w:rsidR="003049C4" w:rsidRPr="0050191D">
              <w:rPr>
                <w:rFonts w:ascii="Times New Roman" w:hAnsi="Times New Roman"/>
                <w:b/>
                <w:bCs/>
                <w:i/>
              </w:rPr>
              <w:t xml:space="preserve">ISO 45001:2018 İş Sağlığı ve Güvenliği </w:t>
            </w:r>
            <w:r w:rsidR="00BE18A9">
              <w:rPr>
                <w:rFonts w:ascii="Times New Roman" w:hAnsi="Times New Roman"/>
                <w:b/>
                <w:bCs/>
                <w:i/>
              </w:rPr>
              <w:t>Yönetim Sistemi” faaliyetleri</w:t>
            </w:r>
            <w:r w:rsidR="003049C4" w:rsidRPr="0050191D">
              <w:rPr>
                <w:rFonts w:ascii="Times New Roman" w:hAnsi="Times New Roman"/>
                <w:b/>
                <w:bCs/>
                <w:i/>
              </w:rPr>
              <w:t xml:space="preserve"> kapsamında çalışanlarımızın daha sağlıklı ve güvenli bir </w:t>
            </w:r>
            <w:r w:rsidR="00BE18A9">
              <w:rPr>
                <w:rFonts w:ascii="Times New Roman" w:hAnsi="Times New Roman"/>
                <w:b/>
                <w:bCs/>
                <w:i/>
              </w:rPr>
              <w:t>ortam</w:t>
            </w:r>
            <w:r w:rsidR="003049C4" w:rsidRPr="0050191D">
              <w:rPr>
                <w:rFonts w:ascii="Times New Roman" w:hAnsi="Times New Roman"/>
                <w:b/>
                <w:bCs/>
                <w:i/>
              </w:rPr>
              <w:t>da çalışmalarını sağlamak, doğal kaynakları ve enerjiyi verimli kullanarak ve kirliliği önleyer</w:t>
            </w:r>
            <w:r w:rsidR="00400D56">
              <w:rPr>
                <w:rFonts w:ascii="Times New Roman" w:hAnsi="Times New Roman"/>
                <w:b/>
                <w:bCs/>
                <w:i/>
              </w:rPr>
              <w:t xml:space="preserve">ek gelecek nesillere daha temiz </w:t>
            </w:r>
            <w:r w:rsidR="003049C4" w:rsidRPr="0050191D">
              <w:rPr>
                <w:rFonts w:ascii="Times New Roman" w:hAnsi="Times New Roman"/>
                <w:b/>
                <w:bCs/>
                <w:i/>
              </w:rPr>
              <w:t>daha yaşanabilir bir çevre bırakabilmek amacıyla;</w:t>
            </w:r>
          </w:p>
          <w:p w14:paraId="17723C8F" w14:textId="77777777" w:rsidR="00400D56" w:rsidRPr="0050191D" w:rsidRDefault="00400D56" w:rsidP="00A23E13">
            <w:pPr>
              <w:tabs>
                <w:tab w:val="left" w:pos="426"/>
                <w:tab w:val="left" w:pos="7516"/>
              </w:tabs>
              <w:spacing w:line="0" w:lineRule="atLeast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14:paraId="3B02ED45" w14:textId="665C561C" w:rsidR="003049C4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Tüm kazaları</w:t>
            </w:r>
            <w:r w:rsidR="00BE18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meslek hastalıklarını</w:t>
            </w:r>
            <w:r w:rsidR="00BE18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çevresel zararları ve uygunsuzlukları </w:t>
            </w:r>
            <w:r w:rsidR="00294121"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önleyen etkin bir sistem 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kur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ularak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ve süre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kli iyileştirme ve geliştirme sağlanacaktır.</w:t>
            </w:r>
          </w:p>
          <w:p w14:paraId="7A553825" w14:textId="01F203D5" w:rsidR="003049C4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Yürürlükte </w:t>
            </w:r>
            <w:r w:rsidR="00BE18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bulunan tüm yasal gerekliliklere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uy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ulacaktır.</w:t>
            </w:r>
          </w:p>
          <w:p w14:paraId="3257D99B" w14:textId="6633D121" w:rsidR="003049C4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Ölçülebilen performans göstergeleri oluşturarak düzenli denetimlerle izle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necektir.</w:t>
            </w:r>
          </w:p>
          <w:p w14:paraId="6F43D404" w14:textId="60DE29A3" w:rsidR="003049C4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Mümkün olduğunca ölçülebilir yıllık İSG hedefleri belirlemek ve bu hedefleri tüm çalışanlar ile paylaşarak</w:t>
            </w:r>
            <w:r w:rsidR="00BE18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toplam katılımı teşvik etmek yoluyla hedefler gerçekleştir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ilecektir.</w:t>
            </w:r>
          </w:p>
          <w:p w14:paraId="18298CF3" w14:textId="55FFBBA8" w:rsidR="003049C4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Gözle görülür bir liderlik ve net bir sorumluluk gerektiren destekleyici bir kültür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oluşturulacaktır.</w:t>
            </w:r>
          </w:p>
          <w:p w14:paraId="0D11048C" w14:textId="622BCF8A" w:rsidR="003049C4" w:rsidRPr="0050191D" w:rsidRDefault="00541AED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Tüm İSG riskleri belirlen</w:t>
            </w:r>
            <w:r w:rsidR="003049C4"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ip acil durum prosedürler düzenli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olarak </w:t>
            </w:r>
            <w:r w:rsidR="003049C4"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güncelle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necektir.</w:t>
            </w:r>
          </w:p>
          <w:p w14:paraId="60E82029" w14:textId="033E509F" w:rsidR="003049C4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Sağlıklı ve güve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nli bir çalışma ortamı sağlanması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için hedefler belirleyip izleme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si yapılacaktır.</w:t>
            </w:r>
          </w:p>
          <w:p w14:paraId="4426B2AA" w14:textId="079CF5B4" w:rsidR="003049C4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Teknolojik gelişmeleri ve yenilikleri takip ederek performansı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 sürekli iyileştirmesi yapılacaktır.</w:t>
            </w:r>
          </w:p>
          <w:p w14:paraId="37055BD8" w14:textId="4E9B2FEE" w:rsidR="00252526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İlgili tüm yasal mevzuata ve uygulanabilir diğer standartlara uyum için, iş sağlığı ve</w:t>
            </w:r>
          </w:p>
          <w:p w14:paraId="69308B35" w14:textId="0200920A" w:rsidR="003049C4" w:rsidRPr="00884D7D" w:rsidRDefault="003049C4" w:rsidP="00541AED">
            <w:pPr>
              <w:pStyle w:val="ListeParagraf"/>
              <w:tabs>
                <w:tab w:val="left" w:pos="210"/>
                <w:tab w:val="left" w:pos="7516"/>
              </w:tabs>
              <w:spacing w:line="276" w:lineRule="auto"/>
              <w:ind w:right="308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884D7D">
              <w:rPr>
                <w:rFonts w:ascii="Times New Roman" w:hAnsi="Times New Roman"/>
                <w:b/>
                <w:bCs/>
                <w:i/>
              </w:rPr>
              <w:t>güvenliği risklerini</w:t>
            </w:r>
            <w:r w:rsidR="00541AED">
              <w:rPr>
                <w:rFonts w:ascii="Times New Roman" w:hAnsi="Times New Roman"/>
                <w:b/>
                <w:bCs/>
                <w:i/>
              </w:rPr>
              <w:t xml:space="preserve"> proaktif bir biçimde yönetilecektir.</w:t>
            </w:r>
          </w:p>
          <w:p w14:paraId="06595257" w14:textId="6848BA9D" w:rsidR="003049C4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Tüm paydaşlar ile etkin bir iletişim kurarak belirlenen amaçlara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ça</w:t>
            </w:r>
            <w:r w:rsidR="00374271"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lışanların güvenli davranışları ve 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katkılarıyla ulaşabileceği bilinci yaygınlaştır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ılacaktır.</w:t>
            </w:r>
          </w:p>
          <w:p w14:paraId="2BB87E2B" w14:textId="5C9BCEF2" w:rsidR="003049C4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İSG politikası kapsamında, sürekli gelişmeyi sağlayabilmek, politika gereklerinin yerine getirilmesi ve şartlara göre revize edilmesi amacı</w:t>
            </w:r>
            <w:r w:rsidR="00BE18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yla gerekli çalışmaları yürüt</w:t>
            </w:r>
            <w:r w:rsidR="00541A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ülecektir.</w:t>
            </w:r>
          </w:p>
          <w:p w14:paraId="2145E32A" w14:textId="21C5A5A8" w:rsidR="00374271" w:rsidRPr="0050191D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Politikalar süre</w:t>
            </w:r>
            <w:r w:rsidR="00E36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kli gelişme anlayışı içerisinde, 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yönetim tarafınd</w:t>
            </w:r>
            <w:r w:rsidR="00E36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an düzenli olarak gözden geçirilecektir.</w:t>
            </w:r>
          </w:p>
          <w:p w14:paraId="31D3B14F" w14:textId="7F47CEB5" w:rsidR="00374271" w:rsidRDefault="003049C4" w:rsidP="00A23E13">
            <w:pPr>
              <w:pStyle w:val="ListeParagraf"/>
              <w:numPr>
                <w:ilvl w:val="0"/>
                <w:numId w:val="5"/>
              </w:numPr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İş kazalarını kontrol altına almak amacıyla</w:t>
            </w:r>
            <w:r w:rsidR="00BE18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eğitimler planla</w:t>
            </w:r>
            <w:r w:rsidR="00E36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nacak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ve bu doğrultuda personel </w:t>
            </w:r>
            <w:r w:rsidR="00374271" w:rsidRPr="0050191D">
              <w:rPr>
                <w:rFonts w:ascii="Times New Roman" w:hAnsi="Times New Roman"/>
                <w:b/>
                <w:bCs/>
                <w:i/>
              </w:rPr>
              <w:t xml:space="preserve">            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bilinçlendir</w:t>
            </w:r>
            <w:r w:rsidR="00E36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ilecek gerekli tedbirler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al</w:t>
            </w:r>
            <w:r w:rsidR="00E36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ın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arak sürdürülebilir İSG yapısı oluştur</w:t>
            </w:r>
            <w:r w:rsidR="00E36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up</w:t>
            </w:r>
            <w:r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sürekli iyileştirme </w:t>
            </w:r>
            <w:r w:rsidR="00374271" w:rsidRPr="005019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ve</w:t>
            </w:r>
            <w:r w:rsidR="00374271" w:rsidRPr="0050191D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="00E36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geliştirme sağlanacaktır.</w:t>
            </w:r>
          </w:p>
          <w:p w14:paraId="5CF964EB" w14:textId="77777777" w:rsidR="00A23E13" w:rsidRDefault="00A23E13" w:rsidP="00A23E13">
            <w:pPr>
              <w:pStyle w:val="ListeParagraf"/>
              <w:tabs>
                <w:tab w:val="left" w:pos="210"/>
                <w:tab w:val="left" w:pos="7516"/>
              </w:tabs>
              <w:spacing w:after="0" w:line="276" w:lineRule="auto"/>
              <w:ind w:right="308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F0CB810" w14:textId="77777777" w:rsidR="00CC7951" w:rsidRDefault="00CC7951" w:rsidP="00B25BC1">
            <w:pPr>
              <w:tabs>
                <w:tab w:val="left" w:pos="210"/>
                <w:tab w:val="left" w:pos="7516"/>
              </w:tabs>
              <w:rPr>
                <w:rFonts w:ascii="Goudy Old Style" w:hAnsi="Goudy Old Style"/>
                <w:b/>
                <w:bCs/>
                <w:i/>
                <w:iCs/>
              </w:rPr>
            </w:pPr>
          </w:p>
          <w:p w14:paraId="59D5AE23" w14:textId="6D1A87DE" w:rsidR="00CC7951" w:rsidRDefault="00400D56" w:rsidP="00B25BC1">
            <w:pPr>
              <w:tabs>
                <w:tab w:val="left" w:pos="210"/>
                <w:tab w:val="left" w:pos="7516"/>
              </w:tabs>
              <w:rPr>
                <w:rFonts w:ascii="Goudy Old Style" w:hAnsi="Goudy Old Style"/>
                <w:b/>
                <w:bCs/>
                <w:i/>
                <w:iCs/>
              </w:rPr>
            </w:pPr>
            <w:r>
              <w:rPr>
                <w:rFonts w:ascii="Goudy Old Style" w:hAnsi="Goudy Old Style"/>
                <w:b/>
                <w:bCs/>
                <w:i/>
                <w:iCs/>
              </w:rPr>
              <w:t xml:space="preserve">                                                                                               </w:t>
            </w:r>
            <w:r w:rsidR="003B3563">
              <w:rPr>
                <w:rFonts w:ascii="Goudy Old Style" w:hAnsi="Goudy Old Style"/>
                <w:b/>
                <w:bCs/>
                <w:i/>
                <w:iCs/>
              </w:rPr>
              <w:t xml:space="preserve">                          </w:t>
            </w:r>
            <w:r w:rsidR="00B14FCD">
              <w:rPr>
                <w:rFonts w:ascii="Goudy Old Style" w:hAnsi="Goudy Old Style"/>
                <w:b/>
                <w:bCs/>
                <w:i/>
                <w:iCs/>
              </w:rPr>
              <w:t xml:space="preserve"> </w:t>
            </w:r>
          </w:p>
          <w:p w14:paraId="0F4B2735" w14:textId="645F8820" w:rsidR="003049C4" w:rsidRPr="00AC03B7" w:rsidRDefault="00A5684E" w:rsidP="00CC7951">
            <w:pPr>
              <w:tabs>
                <w:tab w:val="left" w:pos="210"/>
                <w:tab w:val="left" w:pos="7516"/>
              </w:tabs>
              <w:ind w:right="312"/>
              <w:rPr>
                <w:rFonts w:ascii="Arial" w:hAnsi="Arial" w:cs="Arial"/>
                <w:b/>
                <w:bCs/>
                <w:iCs/>
                <w:sz w:val="32"/>
              </w:rPr>
            </w:pPr>
            <w:r w:rsidRPr="00A23E13">
              <w:rPr>
                <w:rFonts w:ascii="Goudy Old Style" w:hAnsi="Goudy Old Style"/>
                <w:b/>
                <w:bCs/>
                <w:iCs/>
              </w:rPr>
              <w:t xml:space="preserve">                                                                                                                         </w:t>
            </w:r>
            <w:r w:rsidRPr="00AC03B7">
              <w:rPr>
                <w:rFonts w:ascii="Arial" w:hAnsi="Arial" w:cs="Arial"/>
                <w:b/>
                <w:bCs/>
                <w:iCs/>
              </w:rPr>
              <w:t xml:space="preserve">  </w:t>
            </w:r>
            <w:r w:rsidR="00AF2404" w:rsidRPr="00AC03B7">
              <w:rPr>
                <w:rFonts w:ascii="Arial" w:hAnsi="Arial" w:cs="Arial"/>
                <w:b/>
                <w:bCs/>
                <w:iCs/>
                <w:sz w:val="32"/>
              </w:rPr>
              <w:t>Mehme</w:t>
            </w:r>
            <w:r w:rsidR="00A23E13" w:rsidRPr="00AC03B7">
              <w:rPr>
                <w:rFonts w:ascii="Arial" w:hAnsi="Arial" w:cs="Arial"/>
                <w:b/>
                <w:bCs/>
                <w:iCs/>
                <w:sz w:val="32"/>
              </w:rPr>
              <w:t>t</w:t>
            </w:r>
            <w:r w:rsidR="00AF2404" w:rsidRPr="00AC03B7">
              <w:rPr>
                <w:rFonts w:ascii="Arial" w:hAnsi="Arial" w:cs="Arial"/>
                <w:b/>
                <w:bCs/>
                <w:iCs/>
                <w:sz w:val="32"/>
              </w:rPr>
              <w:t xml:space="preserve"> Zeki ADLI</w:t>
            </w:r>
          </w:p>
          <w:p w14:paraId="4FE6E349" w14:textId="093B0C96" w:rsidR="00B14FCD" w:rsidRPr="00AC03B7" w:rsidRDefault="00374271" w:rsidP="00B14FCD">
            <w:pPr>
              <w:tabs>
                <w:tab w:val="left" w:pos="210"/>
                <w:tab w:val="left" w:pos="7516"/>
              </w:tabs>
              <w:ind w:right="312"/>
              <w:jc w:val="center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AC03B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                                           </w:t>
            </w:r>
            <w:r w:rsidR="00A23E13" w:rsidRPr="00AC03B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                          </w:t>
            </w:r>
            <w:r w:rsidR="00AC03B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C816E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1F276E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AC03B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="00AF2404" w:rsidRPr="00AC03B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GENEL MÜDÜR V.</w:t>
            </w:r>
          </w:p>
          <w:p w14:paraId="3C2FE877" w14:textId="77777777" w:rsidR="00AC03B7" w:rsidRDefault="00AC03B7" w:rsidP="00B14FCD">
            <w:pPr>
              <w:tabs>
                <w:tab w:val="left" w:pos="210"/>
                <w:tab w:val="left" w:pos="7516"/>
              </w:tabs>
              <w:ind w:right="312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14:paraId="0161F328" w14:textId="039E1922" w:rsidR="00B14FCD" w:rsidRPr="00A23E13" w:rsidRDefault="00B14FCD" w:rsidP="00B14FCD">
            <w:pPr>
              <w:tabs>
                <w:tab w:val="left" w:pos="210"/>
                <w:tab w:val="left" w:pos="7516"/>
              </w:tabs>
              <w:ind w:right="312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3E39E7F7" w14:textId="2309D321" w:rsidR="003049C4" w:rsidRDefault="003049C4" w:rsidP="00252526">
      <w:pPr>
        <w:tabs>
          <w:tab w:val="left" w:pos="210"/>
        </w:tabs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sectPr w:rsidR="003049C4" w:rsidSect="00CC1B31">
      <w:pgSz w:w="11906" w:h="16838"/>
      <w:pgMar w:top="238" w:right="720" w:bottom="284" w:left="720" w:header="284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8F9A5" w14:textId="77777777" w:rsidR="001A1BB6" w:rsidRDefault="001A1BB6" w:rsidP="002D1F0E">
      <w:r>
        <w:separator/>
      </w:r>
    </w:p>
  </w:endnote>
  <w:endnote w:type="continuationSeparator" w:id="0">
    <w:p w14:paraId="390FC2FF" w14:textId="77777777" w:rsidR="001A1BB6" w:rsidRDefault="001A1BB6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085C32" w14:textId="77777777" w:rsidR="001A1BB6" w:rsidRDefault="001A1BB6" w:rsidP="002D1F0E">
      <w:r>
        <w:separator/>
      </w:r>
    </w:p>
  </w:footnote>
  <w:footnote w:type="continuationSeparator" w:id="0">
    <w:p w14:paraId="6919EABD" w14:textId="77777777" w:rsidR="001A1BB6" w:rsidRDefault="001A1BB6" w:rsidP="002D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C7688"/>
    <w:multiLevelType w:val="hybridMultilevel"/>
    <w:tmpl w:val="1FF07B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083E"/>
    <w:multiLevelType w:val="hybridMultilevel"/>
    <w:tmpl w:val="E320D8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8368D0"/>
    <w:multiLevelType w:val="hybridMultilevel"/>
    <w:tmpl w:val="7ABC1B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71B66"/>
    <w:multiLevelType w:val="hybridMultilevel"/>
    <w:tmpl w:val="F6D84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253"/>
    <w:rsid w:val="00044039"/>
    <w:rsid w:val="00116921"/>
    <w:rsid w:val="0016461C"/>
    <w:rsid w:val="001A1BB6"/>
    <w:rsid w:val="001D74DA"/>
    <w:rsid w:val="001F01C0"/>
    <w:rsid w:val="001F276E"/>
    <w:rsid w:val="001F5A45"/>
    <w:rsid w:val="002059B8"/>
    <w:rsid w:val="00252526"/>
    <w:rsid w:val="00294121"/>
    <w:rsid w:val="002D1F0E"/>
    <w:rsid w:val="002D71A1"/>
    <w:rsid w:val="002F083B"/>
    <w:rsid w:val="003049C4"/>
    <w:rsid w:val="0033206D"/>
    <w:rsid w:val="003629D4"/>
    <w:rsid w:val="00374271"/>
    <w:rsid w:val="00375532"/>
    <w:rsid w:val="003B3563"/>
    <w:rsid w:val="003F686A"/>
    <w:rsid w:val="00400D56"/>
    <w:rsid w:val="004125B1"/>
    <w:rsid w:val="004173DA"/>
    <w:rsid w:val="0044366B"/>
    <w:rsid w:val="004852DA"/>
    <w:rsid w:val="004A05A5"/>
    <w:rsid w:val="004D6A6C"/>
    <w:rsid w:val="0050191D"/>
    <w:rsid w:val="00541AED"/>
    <w:rsid w:val="00542075"/>
    <w:rsid w:val="00557AD1"/>
    <w:rsid w:val="00560B38"/>
    <w:rsid w:val="00577E56"/>
    <w:rsid w:val="005E4540"/>
    <w:rsid w:val="00662B06"/>
    <w:rsid w:val="00687AB0"/>
    <w:rsid w:val="006A52EB"/>
    <w:rsid w:val="006D2CFA"/>
    <w:rsid w:val="00700260"/>
    <w:rsid w:val="00735253"/>
    <w:rsid w:val="0073785D"/>
    <w:rsid w:val="008249D0"/>
    <w:rsid w:val="0087110F"/>
    <w:rsid w:val="00884D7D"/>
    <w:rsid w:val="008D4957"/>
    <w:rsid w:val="00951453"/>
    <w:rsid w:val="00954C57"/>
    <w:rsid w:val="00971DF8"/>
    <w:rsid w:val="009E5E66"/>
    <w:rsid w:val="00A23E13"/>
    <w:rsid w:val="00A5684E"/>
    <w:rsid w:val="00AB0614"/>
    <w:rsid w:val="00AC03B7"/>
    <w:rsid w:val="00AD3FD6"/>
    <w:rsid w:val="00AE43D4"/>
    <w:rsid w:val="00AF2404"/>
    <w:rsid w:val="00B10A9A"/>
    <w:rsid w:val="00B14FCD"/>
    <w:rsid w:val="00B25BC1"/>
    <w:rsid w:val="00B37017"/>
    <w:rsid w:val="00BD779F"/>
    <w:rsid w:val="00BE18A9"/>
    <w:rsid w:val="00C037E0"/>
    <w:rsid w:val="00C24263"/>
    <w:rsid w:val="00C5560A"/>
    <w:rsid w:val="00C816E3"/>
    <w:rsid w:val="00C86558"/>
    <w:rsid w:val="00CC1B31"/>
    <w:rsid w:val="00CC7951"/>
    <w:rsid w:val="00CD1FC6"/>
    <w:rsid w:val="00D34CDF"/>
    <w:rsid w:val="00D53135"/>
    <w:rsid w:val="00DA0BA6"/>
    <w:rsid w:val="00DB600B"/>
    <w:rsid w:val="00DE5453"/>
    <w:rsid w:val="00E36BB4"/>
    <w:rsid w:val="00E57A4E"/>
    <w:rsid w:val="00E70CE1"/>
    <w:rsid w:val="00ED21C0"/>
    <w:rsid w:val="00F440DC"/>
    <w:rsid w:val="00F63309"/>
    <w:rsid w:val="00F828D3"/>
    <w:rsid w:val="00FA2D11"/>
    <w:rsid w:val="00FE121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BCB1C8"/>
  <w15:docId w15:val="{C27284B8-C60F-4538-8C7B-86EB4E457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DC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DB600B"/>
    <w:pPr>
      <w:widowControl w:val="0"/>
      <w:autoSpaceDE w:val="0"/>
      <w:autoSpaceDN w:val="0"/>
      <w:ind w:left="1013" w:right="989"/>
      <w:jc w:val="center"/>
      <w:outlineLvl w:val="0"/>
    </w:pPr>
    <w:rPr>
      <w:rFonts w:ascii="Arial" w:eastAsia="Arial" w:hAnsi="Arial" w:cs="Arial"/>
      <w:b/>
      <w:bCs/>
      <w:sz w:val="22"/>
      <w:szCs w:val="22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uiPriority w:val="1"/>
    <w:rsid w:val="00DB600B"/>
    <w:rPr>
      <w:rFonts w:ascii="Arial" w:eastAsia="Arial" w:hAnsi="Arial" w:cs="Arial"/>
      <w:b/>
      <w:bCs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DB600B"/>
    <w:pPr>
      <w:widowControl w:val="0"/>
      <w:autoSpaceDE w:val="0"/>
      <w:autoSpaceDN w:val="0"/>
      <w:jc w:val="both"/>
    </w:pPr>
    <w:rPr>
      <w:rFonts w:ascii="Arial" w:eastAsia="Arial" w:hAnsi="Arial" w:cs="Arial"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B600B"/>
    <w:rPr>
      <w:rFonts w:ascii="Arial" w:eastAsia="Arial" w:hAnsi="Arial" w:cs="Arial"/>
      <w:sz w:val="18"/>
      <w:szCs w:val="18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77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779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İSG Politikası</vt:lpstr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İSG Politikası</dc:title>
  <dc:subject/>
  <dc:creator>Adl Belge</dc:creator>
  <cp:keywords>adlbelge.com</cp:keywords>
  <dc:description/>
  <cp:lastModifiedBy>AYTUĞ BOKE</cp:lastModifiedBy>
  <cp:revision>17</cp:revision>
  <cp:lastPrinted>2021-03-04T10:10:00Z</cp:lastPrinted>
  <dcterms:created xsi:type="dcterms:W3CDTF">2021-03-04T08:18:00Z</dcterms:created>
  <dcterms:modified xsi:type="dcterms:W3CDTF">2022-02-03T10:56:00Z</dcterms:modified>
</cp:coreProperties>
</file>